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868626" w14:textId="77777777" w:rsidR="00C701BE" w:rsidRPr="00FD79DE" w:rsidRDefault="00000000" w:rsidP="00FD79DE">
      <w:pPr>
        <w:pStyle w:val="Nzev"/>
        <w:spacing w:line="240" w:lineRule="auto"/>
        <w:jc w:val="center"/>
        <w:rPr>
          <w:b/>
          <w:bCs/>
        </w:rPr>
      </w:pPr>
      <w:r w:rsidRPr="00FD79DE">
        <w:rPr>
          <w:b/>
          <w:bCs/>
        </w:rPr>
        <w:t>Technická normalizace a zkušebnictví</w:t>
      </w:r>
    </w:p>
    <w:p w14:paraId="55D5294F" w14:textId="041F6053" w:rsidR="00C701BE" w:rsidRPr="00FD79DE" w:rsidRDefault="00000000" w:rsidP="00FD79DE">
      <w:pPr>
        <w:spacing w:line="240" w:lineRule="auto"/>
        <w:jc w:val="center"/>
        <w:rPr>
          <w:b/>
          <w:bCs/>
          <w:sz w:val="30"/>
        </w:rPr>
      </w:pPr>
      <w:r w:rsidRPr="00FD79DE">
        <w:rPr>
          <w:b/>
          <w:bCs/>
          <w:sz w:val="30"/>
        </w:rPr>
        <w:t xml:space="preserve">Příručka pro </w:t>
      </w:r>
      <w:r w:rsidR="00DA3257" w:rsidRPr="00FD79DE">
        <w:rPr>
          <w:b/>
          <w:bCs/>
          <w:sz w:val="30"/>
        </w:rPr>
        <w:t xml:space="preserve">vodohospodářské </w:t>
      </w:r>
      <w:r w:rsidRPr="00FD79DE">
        <w:rPr>
          <w:b/>
          <w:bCs/>
          <w:sz w:val="30"/>
        </w:rPr>
        <w:t>techniky</w:t>
      </w:r>
    </w:p>
    <w:p w14:paraId="64C1D0F1" w14:textId="7D694E6C" w:rsidR="00B33274" w:rsidRDefault="00B33274" w:rsidP="00DA3257">
      <w:pPr>
        <w:spacing w:line="240" w:lineRule="auto"/>
        <w:jc w:val="both"/>
        <w:rPr>
          <w:sz w:val="30"/>
        </w:rPr>
      </w:pPr>
    </w:p>
    <w:p w14:paraId="2E6D40B1" w14:textId="705665F7" w:rsidR="00FD79DE" w:rsidRDefault="00DA3257">
      <w:pPr>
        <w:pStyle w:val="Obsah1"/>
        <w:tabs>
          <w:tab w:val="right" w:leader="dot" w:pos="9288"/>
        </w:tabs>
        <w:rPr>
          <w:rFonts w:asciiTheme="minorHAnsi" w:hAnsiTheme="minorHAnsi"/>
          <w:noProof/>
          <w:color w:val="auto"/>
          <w:kern w:val="2"/>
          <w:sz w:val="24"/>
          <w:szCs w:val="24"/>
          <w:lang w:eastAsia="cs-CZ"/>
          <w14:ligatures w14:val="standardContextual"/>
        </w:rPr>
      </w:pPr>
      <w:r>
        <w:fldChar w:fldCharType="begin"/>
      </w:r>
      <w:r>
        <w:instrText xml:space="preserve"> TOC \o "1-1" \h \z \u </w:instrText>
      </w:r>
      <w:r>
        <w:fldChar w:fldCharType="separate"/>
      </w:r>
      <w:hyperlink w:anchor="_Toc243071033" w:history="1">
        <w:r w:rsidR="00FD79DE" w:rsidRPr="00F65CFC">
          <w:rPr>
            <w:rStyle w:val="Hypertextovodkaz"/>
            <w:noProof/>
          </w:rPr>
          <w:t>Účel příručky</w:t>
        </w:r>
        <w:r w:rsidR="00FD79DE">
          <w:rPr>
            <w:noProof/>
            <w:webHidden/>
          </w:rPr>
          <w:tab/>
        </w:r>
        <w:r w:rsidR="00FD79DE">
          <w:rPr>
            <w:noProof/>
            <w:webHidden/>
          </w:rPr>
          <w:fldChar w:fldCharType="begin"/>
        </w:r>
        <w:r w:rsidR="00FD79DE">
          <w:rPr>
            <w:noProof/>
            <w:webHidden/>
          </w:rPr>
          <w:instrText xml:space="preserve"> PAGEREF _Toc243071033 \h </w:instrText>
        </w:r>
        <w:r w:rsidR="00FD79DE">
          <w:rPr>
            <w:noProof/>
            <w:webHidden/>
          </w:rPr>
        </w:r>
        <w:r w:rsidR="00FD79DE">
          <w:rPr>
            <w:noProof/>
            <w:webHidden/>
          </w:rPr>
          <w:fldChar w:fldCharType="separate"/>
        </w:r>
        <w:r w:rsidR="00FD79DE">
          <w:rPr>
            <w:noProof/>
            <w:webHidden/>
          </w:rPr>
          <w:t>2</w:t>
        </w:r>
        <w:r w:rsidR="00FD79DE">
          <w:rPr>
            <w:noProof/>
            <w:webHidden/>
          </w:rPr>
          <w:fldChar w:fldCharType="end"/>
        </w:r>
      </w:hyperlink>
    </w:p>
    <w:p w14:paraId="3057A05E" w14:textId="40C97FD9" w:rsidR="00FD79DE" w:rsidRDefault="00FD79DE">
      <w:pPr>
        <w:pStyle w:val="Obsah1"/>
        <w:tabs>
          <w:tab w:val="right" w:leader="dot" w:pos="9288"/>
        </w:tabs>
        <w:rPr>
          <w:rFonts w:asciiTheme="minorHAnsi" w:hAnsiTheme="minorHAnsi"/>
          <w:noProof/>
          <w:color w:val="auto"/>
          <w:kern w:val="2"/>
          <w:sz w:val="24"/>
          <w:szCs w:val="24"/>
          <w:lang w:eastAsia="cs-CZ"/>
          <w14:ligatures w14:val="standardContextual"/>
        </w:rPr>
      </w:pPr>
      <w:hyperlink w:anchor="_Toc243071034" w:history="1">
        <w:r w:rsidRPr="00F65CFC">
          <w:rPr>
            <w:rStyle w:val="Hypertextovodkaz"/>
            <w:noProof/>
          </w:rPr>
          <w:t>1 Jak spolu souvisejí požadavky normy a zkoušky</w:t>
        </w:r>
        <w:r>
          <w:rPr>
            <w:noProof/>
            <w:webHidden/>
          </w:rPr>
          <w:tab/>
        </w:r>
        <w:r>
          <w:rPr>
            <w:noProof/>
            <w:webHidden/>
          </w:rPr>
          <w:fldChar w:fldCharType="begin"/>
        </w:r>
        <w:r>
          <w:rPr>
            <w:noProof/>
            <w:webHidden/>
          </w:rPr>
          <w:instrText xml:space="preserve"> PAGEREF _Toc243071034 \h </w:instrText>
        </w:r>
        <w:r>
          <w:rPr>
            <w:noProof/>
            <w:webHidden/>
          </w:rPr>
        </w:r>
        <w:r>
          <w:rPr>
            <w:noProof/>
            <w:webHidden/>
          </w:rPr>
          <w:fldChar w:fldCharType="separate"/>
        </w:r>
        <w:r>
          <w:rPr>
            <w:noProof/>
            <w:webHidden/>
          </w:rPr>
          <w:t>4</w:t>
        </w:r>
        <w:r>
          <w:rPr>
            <w:noProof/>
            <w:webHidden/>
          </w:rPr>
          <w:fldChar w:fldCharType="end"/>
        </w:r>
      </w:hyperlink>
    </w:p>
    <w:p w14:paraId="2CAFF65D" w14:textId="162930B5" w:rsidR="00FD79DE" w:rsidRDefault="00FD79DE">
      <w:pPr>
        <w:pStyle w:val="Obsah1"/>
        <w:tabs>
          <w:tab w:val="right" w:leader="dot" w:pos="9288"/>
        </w:tabs>
        <w:rPr>
          <w:rFonts w:asciiTheme="minorHAnsi" w:hAnsiTheme="minorHAnsi"/>
          <w:noProof/>
          <w:color w:val="auto"/>
          <w:kern w:val="2"/>
          <w:sz w:val="24"/>
          <w:szCs w:val="24"/>
          <w:lang w:eastAsia="cs-CZ"/>
          <w14:ligatures w14:val="standardContextual"/>
        </w:rPr>
      </w:pPr>
      <w:hyperlink w:anchor="_Toc243071035" w:history="1">
        <w:r w:rsidRPr="00F65CFC">
          <w:rPr>
            <w:rStyle w:val="Hypertextovodkaz"/>
            <w:noProof/>
          </w:rPr>
          <w:t>2 Technická normalizace v každodenní práci</w:t>
        </w:r>
        <w:r>
          <w:rPr>
            <w:noProof/>
            <w:webHidden/>
          </w:rPr>
          <w:tab/>
        </w:r>
        <w:r>
          <w:rPr>
            <w:noProof/>
            <w:webHidden/>
          </w:rPr>
          <w:fldChar w:fldCharType="begin"/>
        </w:r>
        <w:r>
          <w:rPr>
            <w:noProof/>
            <w:webHidden/>
          </w:rPr>
          <w:instrText xml:space="preserve"> PAGEREF _Toc243071035 \h </w:instrText>
        </w:r>
        <w:r>
          <w:rPr>
            <w:noProof/>
            <w:webHidden/>
          </w:rPr>
        </w:r>
        <w:r>
          <w:rPr>
            <w:noProof/>
            <w:webHidden/>
          </w:rPr>
          <w:fldChar w:fldCharType="separate"/>
        </w:r>
        <w:r>
          <w:rPr>
            <w:noProof/>
            <w:webHidden/>
          </w:rPr>
          <w:t>4</w:t>
        </w:r>
        <w:r>
          <w:rPr>
            <w:noProof/>
            <w:webHidden/>
          </w:rPr>
          <w:fldChar w:fldCharType="end"/>
        </w:r>
      </w:hyperlink>
    </w:p>
    <w:p w14:paraId="758B1ACF" w14:textId="7FE568C4" w:rsidR="00FD79DE" w:rsidRDefault="00FD79DE">
      <w:pPr>
        <w:pStyle w:val="Obsah1"/>
        <w:tabs>
          <w:tab w:val="right" w:leader="dot" w:pos="9288"/>
        </w:tabs>
        <w:rPr>
          <w:rFonts w:asciiTheme="minorHAnsi" w:hAnsiTheme="minorHAnsi"/>
          <w:noProof/>
          <w:color w:val="auto"/>
          <w:kern w:val="2"/>
          <w:sz w:val="24"/>
          <w:szCs w:val="24"/>
          <w:lang w:eastAsia="cs-CZ"/>
          <w14:ligatures w14:val="standardContextual"/>
        </w:rPr>
      </w:pPr>
      <w:hyperlink w:anchor="_Toc243071036" w:history="1">
        <w:r w:rsidRPr="00F65CFC">
          <w:rPr>
            <w:rStyle w:val="Hypertextovodkaz"/>
            <w:noProof/>
          </w:rPr>
          <w:t>3 Jak vyhledat a správně použít normu</w:t>
        </w:r>
        <w:r>
          <w:rPr>
            <w:noProof/>
            <w:webHidden/>
          </w:rPr>
          <w:tab/>
        </w:r>
        <w:r>
          <w:rPr>
            <w:noProof/>
            <w:webHidden/>
          </w:rPr>
          <w:fldChar w:fldCharType="begin"/>
        </w:r>
        <w:r>
          <w:rPr>
            <w:noProof/>
            <w:webHidden/>
          </w:rPr>
          <w:instrText xml:space="preserve"> PAGEREF _Toc243071036 \h </w:instrText>
        </w:r>
        <w:r>
          <w:rPr>
            <w:noProof/>
            <w:webHidden/>
          </w:rPr>
        </w:r>
        <w:r>
          <w:rPr>
            <w:noProof/>
            <w:webHidden/>
          </w:rPr>
          <w:fldChar w:fldCharType="separate"/>
        </w:r>
        <w:r>
          <w:rPr>
            <w:noProof/>
            <w:webHidden/>
          </w:rPr>
          <w:t>5</w:t>
        </w:r>
        <w:r>
          <w:rPr>
            <w:noProof/>
            <w:webHidden/>
          </w:rPr>
          <w:fldChar w:fldCharType="end"/>
        </w:r>
      </w:hyperlink>
    </w:p>
    <w:p w14:paraId="74906CE9" w14:textId="2592A652" w:rsidR="00FD79DE" w:rsidRDefault="00FD79DE">
      <w:pPr>
        <w:pStyle w:val="Obsah1"/>
        <w:tabs>
          <w:tab w:val="right" w:leader="dot" w:pos="9288"/>
        </w:tabs>
        <w:rPr>
          <w:rFonts w:asciiTheme="minorHAnsi" w:hAnsiTheme="minorHAnsi"/>
          <w:noProof/>
          <w:color w:val="auto"/>
          <w:kern w:val="2"/>
          <w:sz w:val="24"/>
          <w:szCs w:val="24"/>
          <w:lang w:eastAsia="cs-CZ"/>
          <w14:ligatures w14:val="standardContextual"/>
        </w:rPr>
      </w:pPr>
      <w:hyperlink w:anchor="_Toc243071037" w:history="1">
        <w:r w:rsidRPr="00F65CFC">
          <w:rPr>
            <w:rStyle w:val="Hypertextovodkaz"/>
            <w:noProof/>
          </w:rPr>
          <w:t>4 Metrologie a způsobilost měřidel</w:t>
        </w:r>
        <w:r>
          <w:rPr>
            <w:noProof/>
            <w:webHidden/>
          </w:rPr>
          <w:tab/>
        </w:r>
        <w:r>
          <w:rPr>
            <w:noProof/>
            <w:webHidden/>
          </w:rPr>
          <w:fldChar w:fldCharType="begin"/>
        </w:r>
        <w:r>
          <w:rPr>
            <w:noProof/>
            <w:webHidden/>
          </w:rPr>
          <w:instrText xml:space="preserve"> PAGEREF _Toc243071037 \h </w:instrText>
        </w:r>
        <w:r>
          <w:rPr>
            <w:noProof/>
            <w:webHidden/>
          </w:rPr>
        </w:r>
        <w:r>
          <w:rPr>
            <w:noProof/>
            <w:webHidden/>
          </w:rPr>
          <w:fldChar w:fldCharType="separate"/>
        </w:r>
        <w:r>
          <w:rPr>
            <w:noProof/>
            <w:webHidden/>
          </w:rPr>
          <w:t>6</w:t>
        </w:r>
        <w:r>
          <w:rPr>
            <w:noProof/>
            <w:webHidden/>
          </w:rPr>
          <w:fldChar w:fldCharType="end"/>
        </w:r>
      </w:hyperlink>
    </w:p>
    <w:p w14:paraId="63AF0E45" w14:textId="4842D7AD" w:rsidR="00FD79DE" w:rsidRDefault="00FD79DE">
      <w:pPr>
        <w:pStyle w:val="Obsah1"/>
        <w:tabs>
          <w:tab w:val="right" w:leader="dot" w:pos="9288"/>
        </w:tabs>
        <w:rPr>
          <w:rFonts w:asciiTheme="minorHAnsi" w:hAnsiTheme="minorHAnsi"/>
          <w:noProof/>
          <w:color w:val="auto"/>
          <w:kern w:val="2"/>
          <w:sz w:val="24"/>
          <w:szCs w:val="24"/>
          <w:lang w:eastAsia="cs-CZ"/>
          <w14:ligatures w14:val="standardContextual"/>
        </w:rPr>
      </w:pPr>
      <w:hyperlink w:anchor="_Toc243071038" w:history="1">
        <w:r w:rsidRPr="00F65CFC">
          <w:rPr>
            <w:rStyle w:val="Hypertextovodkaz"/>
            <w:noProof/>
          </w:rPr>
          <w:t>5 Nejistota a rozhodování o shodě</w:t>
        </w:r>
        <w:r>
          <w:rPr>
            <w:noProof/>
            <w:webHidden/>
          </w:rPr>
          <w:tab/>
        </w:r>
        <w:r>
          <w:rPr>
            <w:noProof/>
            <w:webHidden/>
          </w:rPr>
          <w:fldChar w:fldCharType="begin"/>
        </w:r>
        <w:r>
          <w:rPr>
            <w:noProof/>
            <w:webHidden/>
          </w:rPr>
          <w:instrText xml:space="preserve"> PAGEREF _Toc243071038 \h </w:instrText>
        </w:r>
        <w:r>
          <w:rPr>
            <w:noProof/>
            <w:webHidden/>
          </w:rPr>
        </w:r>
        <w:r>
          <w:rPr>
            <w:noProof/>
            <w:webHidden/>
          </w:rPr>
          <w:fldChar w:fldCharType="separate"/>
        </w:r>
        <w:r>
          <w:rPr>
            <w:noProof/>
            <w:webHidden/>
          </w:rPr>
          <w:t>7</w:t>
        </w:r>
        <w:r>
          <w:rPr>
            <w:noProof/>
            <w:webHidden/>
          </w:rPr>
          <w:fldChar w:fldCharType="end"/>
        </w:r>
      </w:hyperlink>
    </w:p>
    <w:p w14:paraId="4DC34EFF" w14:textId="37725323" w:rsidR="00FD79DE" w:rsidRDefault="00FD79DE">
      <w:pPr>
        <w:pStyle w:val="Obsah1"/>
        <w:tabs>
          <w:tab w:val="right" w:leader="dot" w:pos="9288"/>
        </w:tabs>
        <w:rPr>
          <w:rFonts w:asciiTheme="minorHAnsi" w:hAnsiTheme="minorHAnsi"/>
          <w:noProof/>
          <w:color w:val="auto"/>
          <w:kern w:val="2"/>
          <w:sz w:val="24"/>
          <w:szCs w:val="24"/>
          <w:lang w:eastAsia="cs-CZ"/>
          <w14:ligatures w14:val="standardContextual"/>
        </w:rPr>
      </w:pPr>
      <w:hyperlink w:anchor="_Toc243071039" w:history="1">
        <w:r w:rsidRPr="00F65CFC">
          <w:rPr>
            <w:rStyle w:val="Hypertextovodkaz"/>
            <w:noProof/>
          </w:rPr>
          <w:t>6 Zkušebnictví a výběr odborného pracoviště</w:t>
        </w:r>
        <w:r>
          <w:rPr>
            <w:noProof/>
            <w:webHidden/>
          </w:rPr>
          <w:tab/>
        </w:r>
        <w:r>
          <w:rPr>
            <w:noProof/>
            <w:webHidden/>
          </w:rPr>
          <w:fldChar w:fldCharType="begin"/>
        </w:r>
        <w:r>
          <w:rPr>
            <w:noProof/>
            <w:webHidden/>
          </w:rPr>
          <w:instrText xml:space="preserve"> PAGEREF _Toc243071039 \h </w:instrText>
        </w:r>
        <w:r>
          <w:rPr>
            <w:noProof/>
            <w:webHidden/>
          </w:rPr>
        </w:r>
        <w:r>
          <w:rPr>
            <w:noProof/>
            <w:webHidden/>
          </w:rPr>
          <w:fldChar w:fldCharType="separate"/>
        </w:r>
        <w:r>
          <w:rPr>
            <w:noProof/>
            <w:webHidden/>
          </w:rPr>
          <w:t>8</w:t>
        </w:r>
        <w:r>
          <w:rPr>
            <w:noProof/>
            <w:webHidden/>
          </w:rPr>
          <w:fldChar w:fldCharType="end"/>
        </w:r>
      </w:hyperlink>
    </w:p>
    <w:p w14:paraId="58BA75FC" w14:textId="7BDC2CF0" w:rsidR="00FD79DE" w:rsidRDefault="00FD79DE">
      <w:pPr>
        <w:pStyle w:val="Obsah1"/>
        <w:tabs>
          <w:tab w:val="right" w:leader="dot" w:pos="9288"/>
        </w:tabs>
        <w:rPr>
          <w:rFonts w:asciiTheme="minorHAnsi" w:hAnsiTheme="minorHAnsi"/>
          <w:noProof/>
          <w:color w:val="auto"/>
          <w:kern w:val="2"/>
          <w:sz w:val="24"/>
          <w:szCs w:val="24"/>
          <w:lang w:eastAsia="cs-CZ"/>
          <w14:ligatures w14:val="standardContextual"/>
        </w:rPr>
      </w:pPr>
      <w:hyperlink w:anchor="_Toc243071040" w:history="1">
        <w:r w:rsidRPr="00F65CFC">
          <w:rPr>
            <w:rStyle w:val="Hypertextovodkaz"/>
            <w:noProof/>
          </w:rPr>
          <w:t>7 Jak připravit provést a vyhodnotit zkoušku</w:t>
        </w:r>
        <w:r>
          <w:rPr>
            <w:noProof/>
            <w:webHidden/>
          </w:rPr>
          <w:tab/>
        </w:r>
        <w:r>
          <w:rPr>
            <w:noProof/>
            <w:webHidden/>
          </w:rPr>
          <w:fldChar w:fldCharType="begin"/>
        </w:r>
        <w:r>
          <w:rPr>
            <w:noProof/>
            <w:webHidden/>
          </w:rPr>
          <w:instrText xml:space="preserve"> PAGEREF _Toc243071040 \h </w:instrText>
        </w:r>
        <w:r>
          <w:rPr>
            <w:noProof/>
            <w:webHidden/>
          </w:rPr>
        </w:r>
        <w:r>
          <w:rPr>
            <w:noProof/>
            <w:webHidden/>
          </w:rPr>
          <w:fldChar w:fldCharType="separate"/>
        </w:r>
        <w:r>
          <w:rPr>
            <w:noProof/>
            <w:webHidden/>
          </w:rPr>
          <w:t>8</w:t>
        </w:r>
        <w:r>
          <w:rPr>
            <w:noProof/>
            <w:webHidden/>
          </w:rPr>
          <w:fldChar w:fldCharType="end"/>
        </w:r>
      </w:hyperlink>
    </w:p>
    <w:p w14:paraId="044D2D3A" w14:textId="6006FF37" w:rsidR="00FD79DE" w:rsidRDefault="00FD79DE">
      <w:pPr>
        <w:pStyle w:val="Obsah1"/>
        <w:tabs>
          <w:tab w:val="right" w:leader="dot" w:pos="9288"/>
        </w:tabs>
        <w:rPr>
          <w:rFonts w:asciiTheme="minorHAnsi" w:hAnsiTheme="minorHAnsi"/>
          <w:noProof/>
          <w:color w:val="auto"/>
          <w:kern w:val="2"/>
          <w:sz w:val="24"/>
          <w:szCs w:val="24"/>
          <w:lang w:eastAsia="cs-CZ"/>
          <w14:ligatures w14:val="standardContextual"/>
        </w:rPr>
      </w:pPr>
      <w:hyperlink w:anchor="_Toc243071041" w:history="1">
        <w:r w:rsidRPr="00F65CFC">
          <w:rPr>
            <w:rStyle w:val="Hypertextovodkaz"/>
            <w:noProof/>
          </w:rPr>
          <w:t>8 Posuzování shody a označení CE</w:t>
        </w:r>
        <w:r>
          <w:rPr>
            <w:noProof/>
            <w:webHidden/>
          </w:rPr>
          <w:tab/>
        </w:r>
        <w:r>
          <w:rPr>
            <w:noProof/>
            <w:webHidden/>
          </w:rPr>
          <w:fldChar w:fldCharType="begin"/>
        </w:r>
        <w:r>
          <w:rPr>
            <w:noProof/>
            <w:webHidden/>
          </w:rPr>
          <w:instrText xml:space="preserve"> PAGEREF _Toc243071041 \h </w:instrText>
        </w:r>
        <w:r>
          <w:rPr>
            <w:noProof/>
            <w:webHidden/>
          </w:rPr>
        </w:r>
        <w:r>
          <w:rPr>
            <w:noProof/>
            <w:webHidden/>
          </w:rPr>
          <w:fldChar w:fldCharType="separate"/>
        </w:r>
        <w:r>
          <w:rPr>
            <w:noProof/>
            <w:webHidden/>
          </w:rPr>
          <w:t>9</w:t>
        </w:r>
        <w:r>
          <w:rPr>
            <w:noProof/>
            <w:webHidden/>
          </w:rPr>
          <w:fldChar w:fldCharType="end"/>
        </w:r>
      </w:hyperlink>
    </w:p>
    <w:p w14:paraId="1FCCB408" w14:textId="66BB5C88" w:rsidR="00FD79DE" w:rsidRDefault="00FD79DE">
      <w:pPr>
        <w:pStyle w:val="Obsah1"/>
        <w:tabs>
          <w:tab w:val="right" w:leader="dot" w:pos="9288"/>
        </w:tabs>
        <w:rPr>
          <w:rFonts w:asciiTheme="minorHAnsi" w:hAnsiTheme="minorHAnsi"/>
          <w:noProof/>
          <w:color w:val="auto"/>
          <w:kern w:val="2"/>
          <w:sz w:val="24"/>
          <w:szCs w:val="24"/>
          <w:lang w:eastAsia="cs-CZ"/>
          <w14:ligatures w14:val="standardContextual"/>
        </w:rPr>
      </w:pPr>
      <w:hyperlink w:anchor="_Toc243071042" w:history="1">
        <w:r w:rsidRPr="00F65CFC">
          <w:rPr>
            <w:rStyle w:val="Hypertextovodkaz"/>
            <w:noProof/>
          </w:rPr>
          <w:t>9 Stavební výrobky a obecná bezpečnost</w:t>
        </w:r>
        <w:r>
          <w:rPr>
            <w:noProof/>
            <w:webHidden/>
          </w:rPr>
          <w:tab/>
        </w:r>
        <w:r>
          <w:rPr>
            <w:noProof/>
            <w:webHidden/>
          </w:rPr>
          <w:fldChar w:fldCharType="begin"/>
        </w:r>
        <w:r>
          <w:rPr>
            <w:noProof/>
            <w:webHidden/>
          </w:rPr>
          <w:instrText xml:space="preserve"> PAGEREF _Toc243071042 \h </w:instrText>
        </w:r>
        <w:r>
          <w:rPr>
            <w:noProof/>
            <w:webHidden/>
          </w:rPr>
        </w:r>
        <w:r>
          <w:rPr>
            <w:noProof/>
            <w:webHidden/>
          </w:rPr>
          <w:fldChar w:fldCharType="separate"/>
        </w:r>
        <w:r>
          <w:rPr>
            <w:noProof/>
            <w:webHidden/>
          </w:rPr>
          <w:t>10</w:t>
        </w:r>
        <w:r>
          <w:rPr>
            <w:noProof/>
            <w:webHidden/>
          </w:rPr>
          <w:fldChar w:fldCharType="end"/>
        </w:r>
      </w:hyperlink>
    </w:p>
    <w:p w14:paraId="0B2365F6" w14:textId="0A0812FA" w:rsidR="00FD79DE" w:rsidRDefault="00FD79DE">
      <w:pPr>
        <w:pStyle w:val="Obsah1"/>
        <w:tabs>
          <w:tab w:val="right" w:leader="dot" w:pos="9288"/>
        </w:tabs>
        <w:rPr>
          <w:rFonts w:asciiTheme="minorHAnsi" w:hAnsiTheme="minorHAnsi"/>
          <w:noProof/>
          <w:color w:val="auto"/>
          <w:kern w:val="2"/>
          <w:sz w:val="24"/>
          <w:szCs w:val="24"/>
          <w:lang w:eastAsia="cs-CZ"/>
          <w14:ligatures w14:val="standardContextual"/>
        </w:rPr>
      </w:pPr>
      <w:hyperlink w:anchor="_Toc243071043" w:history="1">
        <w:r w:rsidRPr="00F65CFC">
          <w:rPr>
            <w:rStyle w:val="Hypertextovodkaz"/>
            <w:noProof/>
          </w:rPr>
          <w:t>10 Přejímka dodávky a řízení neshod</w:t>
        </w:r>
        <w:r>
          <w:rPr>
            <w:noProof/>
            <w:webHidden/>
          </w:rPr>
          <w:tab/>
        </w:r>
        <w:r>
          <w:rPr>
            <w:noProof/>
            <w:webHidden/>
          </w:rPr>
          <w:fldChar w:fldCharType="begin"/>
        </w:r>
        <w:r>
          <w:rPr>
            <w:noProof/>
            <w:webHidden/>
          </w:rPr>
          <w:instrText xml:space="preserve"> PAGEREF _Toc243071043 \h </w:instrText>
        </w:r>
        <w:r>
          <w:rPr>
            <w:noProof/>
            <w:webHidden/>
          </w:rPr>
        </w:r>
        <w:r>
          <w:rPr>
            <w:noProof/>
            <w:webHidden/>
          </w:rPr>
          <w:fldChar w:fldCharType="separate"/>
        </w:r>
        <w:r>
          <w:rPr>
            <w:noProof/>
            <w:webHidden/>
          </w:rPr>
          <w:t>11</w:t>
        </w:r>
        <w:r>
          <w:rPr>
            <w:noProof/>
            <w:webHidden/>
          </w:rPr>
          <w:fldChar w:fldCharType="end"/>
        </w:r>
      </w:hyperlink>
    </w:p>
    <w:p w14:paraId="680B33AE" w14:textId="340DA3AF" w:rsidR="00FD79DE" w:rsidRDefault="00FD79DE">
      <w:pPr>
        <w:pStyle w:val="Obsah1"/>
        <w:tabs>
          <w:tab w:val="right" w:leader="dot" w:pos="9288"/>
        </w:tabs>
        <w:rPr>
          <w:rFonts w:asciiTheme="minorHAnsi" w:hAnsiTheme="minorHAnsi"/>
          <w:noProof/>
          <w:color w:val="auto"/>
          <w:kern w:val="2"/>
          <w:sz w:val="24"/>
          <w:szCs w:val="24"/>
          <w:lang w:eastAsia="cs-CZ"/>
          <w14:ligatures w14:val="standardContextual"/>
        </w:rPr>
      </w:pPr>
      <w:hyperlink w:anchor="_Toc243071044" w:history="1">
        <w:r w:rsidRPr="00F65CFC">
          <w:rPr>
            <w:rStyle w:val="Hypertextovodkaz"/>
            <w:noProof/>
          </w:rPr>
          <w:t>11 Pracovní příklady</w:t>
        </w:r>
        <w:r>
          <w:rPr>
            <w:noProof/>
            <w:webHidden/>
          </w:rPr>
          <w:tab/>
        </w:r>
        <w:r>
          <w:rPr>
            <w:noProof/>
            <w:webHidden/>
          </w:rPr>
          <w:fldChar w:fldCharType="begin"/>
        </w:r>
        <w:r>
          <w:rPr>
            <w:noProof/>
            <w:webHidden/>
          </w:rPr>
          <w:instrText xml:space="preserve"> PAGEREF _Toc243071044 \h </w:instrText>
        </w:r>
        <w:r>
          <w:rPr>
            <w:noProof/>
            <w:webHidden/>
          </w:rPr>
        </w:r>
        <w:r>
          <w:rPr>
            <w:noProof/>
            <w:webHidden/>
          </w:rPr>
          <w:fldChar w:fldCharType="separate"/>
        </w:r>
        <w:r>
          <w:rPr>
            <w:noProof/>
            <w:webHidden/>
          </w:rPr>
          <w:t>11</w:t>
        </w:r>
        <w:r>
          <w:rPr>
            <w:noProof/>
            <w:webHidden/>
          </w:rPr>
          <w:fldChar w:fldCharType="end"/>
        </w:r>
      </w:hyperlink>
    </w:p>
    <w:p w14:paraId="10CA8596" w14:textId="527752D1" w:rsidR="00FD79DE" w:rsidRDefault="00FD79DE">
      <w:pPr>
        <w:pStyle w:val="Obsah1"/>
        <w:tabs>
          <w:tab w:val="right" w:leader="dot" w:pos="9288"/>
        </w:tabs>
        <w:rPr>
          <w:rFonts w:asciiTheme="minorHAnsi" w:hAnsiTheme="minorHAnsi"/>
          <w:noProof/>
          <w:color w:val="auto"/>
          <w:kern w:val="2"/>
          <w:sz w:val="24"/>
          <w:szCs w:val="24"/>
          <w:lang w:eastAsia="cs-CZ"/>
          <w14:ligatures w14:val="standardContextual"/>
        </w:rPr>
      </w:pPr>
      <w:hyperlink w:anchor="_Toc243071045" w:history="1">
        <w:r w:rsidRPr="00F65CFC">
          <w:rPr>
            <w:rStyle w:val="Hypertextovodkaz"/>
            <w:noProof/>
          </w:rPr>
          <w:t>12 Kontrolní seznamy a vzory evidence</w:t>
        </w:r>
        <w:r>
          <w:rPr>
            <w:noProof/>
            <w:webHidden/>
          </w:rPr>
          <w:tab/>
        </w:r>
        <w:r>
          <w:rPr>
            <w:noProof/>
            <w:webHidden/>
          </w:rPr>
          <w:fldChar w:fldCharType="begin"/>
        </w:r>
        <w:r>
          <w:rPr>
            <w:noProof/>
            <w:webHidden/>
          </w:rPr>
          <w:instrText xml:space="preserve"> PAGEREF _Toc243071045 \h </w:instrText>
        </w:r>
        <w:r>
          <w:rPr>
            <w:noProof/>
            <w:webHidden/>
          </w:rPr>
        </w:r>
        <w:r>
          <w:rPr>
            <w:noProof/>
            <w:webHidden/>
          </w:rPr>
          <w:fldChar w:fldCharType="separate"/>
        </w:r>
        <w:r>
          <w:rPr>
            <w:noProof/>
            <w:webHidden/>
          </w:rPr>
          <w:t>12</w:t>
        </w:r>
        <w:r>
          <w:rPr>
            <w:noProof/>
            <w:webHidden/>
          </w:rPr>
          <w:fldChar w:fldCharType="end"/>
        </w:r>
      </w:hyperlink>
    </w:p>
    <w:p w14:paraId="44738A22" w14:textId="0EF0A4F2" w:rsidR="00FD79DE" w:rsidRDefault="00FD79DE">
      <w:pPr>
        <w:pStyle w:val="Obsah1"/>
        <w:tabs>
          <w:tab w:val="right" w:leader="dot" w:pos="9288"/>
        </w:tabs>
        <w:rPr>
          <w:rFonts w:asciiTheme="minorHAnsi" w:hAnsiTheme="minorHAnsi"/>
          <w:noProof/>
          <w:color w:val="auto"/>
          <w:kern w:val="2"/>
          <w:sz w:val="24"/>
          <w:szCs w:val="24"/>
          <w:lang w:eastAsia="cs-CZ"/>
          <w14:ligatures w14:val="standardContextual"/>
        </w:rPr>
      </w:pPr>
      <w:hyperlink w:anchor="_Toc243071046" w:history="1">
        <w:r w:rsidRPr="00F65CFC">
          <w:rPr>
            <w:rStyle w:val="Hypertextovodkaz"/>
            <w:noProof/>
          </w:rPr>
          <w:t>13 Jak převést technické zadání do kontrolního plánu</w:t>
        </w:r>
        <w:r>
          <w:rPr>
            <w:noProof/>
            <w:webHidden/>
          </w:rPr>
          <w:tab/>
        </w:r>
        <w:r>
          <w:rPr>
            <w:noProof/>
            <w:webHidden/>
          </w:rPr>
          <w:fldChar w:fldCharType="begin"/>
        </w:r>
        <w:r>
          <w:rPr>
            <w:noProof/>
            <w:webHidden/>
          </w:rPr>
          <w:instrText xml:space="preserve"> PAGEREF _Toc243071046 \h </w:instrText>
        </w:r>
        <w:r>
          <w:rPr>
            <w:noProof/>
            <w:webHidden/>
          </w:rPr>
        </w:r>
        <w:r>
          <w:rPr>
            <w:noProof/>
            <w:webHidden/>
          </w:rPr>
          <w:fldChar w:fldCharType="separate"/>
        </w:r>
        <w:r>
          <w:rPr>
            <w:noProof/>
            <w:webHidden/>
          </w:rPr>
          <w:t>13</w:t>
        </w:r>
        <w:r>
          <w:rPr>
            <w:noProof/>
            <w:webHidden/>
          </w:rPr>
          <w:fldChar w:fldCharType="end"/>
        </w:r>
      </w:hyperlink>
    </w:p>
    <w:p w14:paraId="1F870E80" w14:textId="01FE7CB6" w:rsidR="00FD79DE" w:rsidRDefault="00FD79DE">
      <w:pPr>
        <w:pStyle w:val="Obsah1"/>
        <w:tabs>
          <w:tab w:val="right" w:leader="dot" w:pos="9288"/>
        </w:tabs>
        <w:rPr>
          <w:rFonts w:asciiTheme="minorHAnsi" w:hAnsiTheme="minorHAnsi"/>
          <w:noProof/>
          <w:color w:val="auto"/>
          <w:kern w:val="2"/>
          <w:sz w:val="24"/>
          <w:szCs w:val="24"/>
          <w:lang w:eastAsia="cs-CZ"/>
          <w14:ligatures w14:val="standardContextual"/>
        </w:rPr>
      </w:pPr>
      <w:hyperlink w:anchor="_Toc243071047" w:history="1">
        <w:r w:rsidRPr="00F65CFC">
          <w:rPr>
            <w:rStyle w:val="Hypertextovodkaz"/>
            <w:noProof/>
          </w:rPr>
          <w:t>14 Základy statistického vyhodnocení technických dat</w:t>
        </w:r>
        <w:r>
          <w:rPr>
            <w:noProof/>
            <w:webHidden/>
          </w:rPr>
          <w:tab/>
        </w:r>
        <w:r>
          <w:rPr>
            <w:noProof/>
            <w:webHidden/>
          </w:rPr>
          <w:fldChar w:fldCharType="begin"/>
        </w:r>
        <w:r>
          <w:rPr>
            <w:noProof/>
            <w:webHidden/>
          </w:rPr>
          <w:instrText xml:space="preserve"> PAGEREF _Toc243071047 \h </w:instrText>
        </w:r>
        <w:r>
          <w:rPr>
            <w:noProof/>
            <w:webHidden/>
          </w:rPr>
        </w:r>
        <w:r>
          <w:rPr>
            <w:noProof/>
            <w:webHidden/>
          </w:rPr>
          <w:fldChar w:fldCharType="separate"/>
        </w:r>
        <w:r>
          <w:rPr>
            <w:noProof/>
            <w:webHidden/>
          </w:rPr>
          <w:t>13</w:t>
        </w:r>
        <w:r>
          <w:rPr>
            <w:noProof/>
            <w:webHidden/>
          </w:rPr>
          <w:fldChar w:fldCharType="end"/>
        </w:r>
      </w:hyperlink>
    </w:p>
    <w:p w14:paraId="1B43F74E" w14:textId="5AD58E1A" w:rsidR="00FD79DE" w:rsidRDefault="00FD79DE">
      <w:pPr>
        <w:pStyle w:val="Obsah1"/>
        <w:tabs>
          <w:tab w:val="right" w:leader="dot" w:pos="9288"/>
        </w:tabs>
        <w:rPr>
          <w:rFonts w:asciiTheme="minorHAnsi" w:hAnsiTheme="minorHAnsi"/>
          <w:noProof/>
          <w:color w:val="auto"/>
          <w:kern w:val="2"/>
          <w:sz w:val="24"/>
          <w:szCs w:val="24"/>
          <w:lang w:eastAsia="cs-CZ"/>
          <w14:ligatures w14:val="standardContextual"/>
        </w:rPr>
      </w:pPr>
      <w:hyperlink w:anchor="_Toc243071048" w:history="1">
        <w:r w:rsidRPr="00F65CFC">
          <w:rPr>
            <w:rStyle w:val="Hypertextovodkaz"/>
            <w:noProof/>
          </w:rPr>
          <w:t>15 Statistické řízení procesu</w:t>
        </w:r>
        <w:r>
          <w:rPr>
            <w:noProof/>
            <w:webHidden/>
          </w:rPr>
          <w:tab/>
        </w:r>
        <w:r>
          <w:rPr>
            <w:noProof/>
            <w:webHidden/>
          </w:rPr>
          <w:fldChar w:fldCharType="begin"/>
        </w:r>
        <w:r>
          <w:rPr>
            <w:noProof/>
            <w:webHidden/>
          </w:rPr>
          <w:instrText xml:space="preserve"> PAGEREF _Toc243071048 \h </w:instrText>
        </w:r>
        <w:r>
          <w:rPr>
            <w:noProof/>
            <w:webHidden/>
          </w:rPr>
        </w:r>
        <w:r>
          <w:rPr>
            <w:noProof/>
            <w:webHidden/>
          </w:rPr>
          <w:fldChar w:fldCharType="separate"/>
        </w:r>
        <w:r>
          <w:rPr>
            <w:noProof/>
            <w:webHidden/>
          </w:rPr>
          <w:t>14</w:t>
        </w:r>
        <w:r>
          <w:rPr>
            <w:noProof/>
            <w:webHidden/>
          </w:rPr>
          <w:fldChar w:fldCharType="end"/>
        </w:r>
      </w:hyperlink>
    </w:p>
    <w:p w14:paraId="197324A9" w14:textId="5DDDD717" w:rsidR="00FD79DE" w:rsidRDefault="00FD79DE">
      <w:pPr>
        <w:pStyle w:val="Obsah1"/>
        <w:tabs>
          <w:tab w:val="right" w:leader="dot" w:pos="9288"/>
        </w:tabs>
        <w:rPr>
          <w:rFonts w:asciiTheme="minorHAnsi" w:hAnsiTheme="minorHAnsi"/>
          <w:noProof/>
          <w:color w:val="auto"/>
          <w:kern w:val="2"/>
          <w:sz w:val="24"/>
          <w:szCs w:val="24"/>
          <w:lang w:eastAsia="cs-CZ"/>
          <w14:ligatures w14:val="standardContextual"/>
        </w:rPr>
      </w:pPr>
      <w:hyperlink w:anchor="_Toc243071049" w:history="1">
        <w:r w:rsidRPr="00F65CFC">
          <w:rPr>
            <w:rStyle w:val="Hypertextovodkaz"/>
            <w:noProof/>
          </w:rPr>
          <w:t>16 Výběrová přejímka dodávek</w:t>
        </w:r>
        <w:r>
          <w:rPr>
            <w:noProof/>
            <w:webHidden/>
          </w:rPr>
          <w:tab/>
        </w:r>
        <w:r>
          <w:rPr>
            <w:noProof/>
            <w:webHidden/>
          </w:rPr>
          <w:fldChar w:fldCharType="begin"/>
        </w:r>
        <w:r>
          <w:rPr>
            <w:noProof/>
            <w:webHidden/>
          </w:rPr>
          <w:instrText xml:space="preserve"> PAGEREF _Toc243071049 \h </w:instrText>
        </w:r>
        <w:r>
          <w:rPr>
            <w:noProof/>
            <w:webHidden/>
          </w:rPr>
        </w:r>
        <w:r>
          <w:rPr>
            <w:noProof/>
            <w:webHidden/>
          </w:rPr>
          <w:fldChar w:fldCharType="separate"/>
        </w:r>
        <w:r>
          <w:rPr>
            <w:noProof/>
            <w:webHidden/>
          </w:rPr>
          <w:t>15</w:t>
        </w:r>
        <w:r>
          <w:rPr>
            <w:noProof/>
            <w:webHidden/>
          </w:rPr>
          <w:fldChar w:fldCharType="end"/>
        </w:r>
      </w:hyperlink>
    </w:p>
    <w:p w14:paraId="71521925" w14:textId="413EC32B" w:rsidR="00FD79DE" w:rsidRDefault="00FD79DE">
      <w:pPr>
        <w:pStyle w:val="Obsah1"/>
        <w:tabs>
          <w:tab w:val="right" w:leader="dot" w:pos="9288"/>
        </w:tabs>
        <w:rPr>
          <w:rFonts w:asciiTheme="minorHAnsi" w:hAnsiTheme="minorHAnsi"/>
          <w:noProof/>
          <w:color w:val="auto"/>
          <w:kern w:val="2"/>
          <w:sz w:val="24"/>
          <w:szCs w:val="24"/>
          <w:lang w:eastAsia="cs-CZ"/>
          <w14:ligatures w14:val="standardContextual"/>
        </w:rPr>
      </w:pPr>
      <w:hyperlink w:anchor="_Toc243071050" w:history="1">
        <w:r w:rsidRPr="00F65CFC">
          <w:rPr>
            <w:rStyle w:val="Hypertextovodkaz"/>
            <w:noProof/>
          </w:rPr>
          <w:t>17 Posouzení měřicího systému</w:t>
        </w:r>
        <w:r>
          <w:rPr>
            <w:noProof/>
            <w:webHidden/>
          </w:rPr>
          <w:tab/>
        </w:r>
        <w:r>
          <w:rPr>
            <w:noProof/>
            <w:webHidden/>
          </w:rPr>
          <w:fldChar w:fldCharType="begin"/>
        </w:r>
        <w:r>
          <w:rPr>
            <w:noProof/>
            <w:webHidden/>
          </w:rPr>
          <w:instrText xml:space="preserve"> PAGEREF _Toc243071050 \h </w:instrText>
        </w:r>
        <w:r>
          <w:rPr>
            <w:noProof/>
            <w:webHidden/>
          </w:rPr>
        </w:r>
        <w:r>
          <w:rPr>
            <w:noProof/>
            <w:webHidden/>
          </w:rPr>
          <w:fldChar w:fldCharType="separate"/>
        </w:r>
        <w:r>
          <w:rPr>
            <w:noProof/>
            <w:webHidden/>
          </w:rPr>
          <w:t>16</w:t>
        </w:r>
        <w:r>
          <w:rPr>
            <w:noProof/>
            <w:webHidden/>
          </w:rPr>
          <w:fldChar w:fldCharType="end"/>
        </w:r>
      </w:hyperlink>
    </w:p>
    <w:p w14:paraId="759B91A8" w14:textId="5D66A4AE" w:rsidR="00FD79DE" w:rsidRDefault="00FD79DE">
      <w:pPr>
        <w:pStyle w:val="Obsah1"/>
        <w:tabs>
          <w:tab w:val="right" w:leader="dot" w:pos="9288"/>
        </w:tabs>
        <w:rPr>
          <w:rFonts w:asciiTheme="minorHAnsi" w:hAnsiTheme="minorHAnsi"/>
          <w:noProof/>
          <w:color w:val="auto"/>
          <w:kern w:val="2"/>
          <w:sz w:val="24"/>
          <w:szCs w:val="24"/>
          <w:lang w:eastAsia="cs-CZ"/>
          <w14:ligatures w14:val="standardContextual"/>
        </w:rPr>
      </w:pPr>
      <w:hyperlink w:anchor="_Toc243071051" w:history="1">
        <w:r w:rsidRPr="00F65CFC">
          <w:rPr>
            <w:rStyle w:val="Hypertextovodkaz"/>
            <w:noProof/>
          </w:rPr>
          <w:t>18 Validace a zavádění zkušebních metod</w:t>
        </w:r>
        <w:r>
          <w:rPr>
            <w:noProof/>
            <w:webHidden/>
          </w:rPr>
          <w:tab/>
        </w:r>
        <w:r>
          <w:rPr>
            <w:noProof/>
            <w:webHidden/>
          </w:rPr>
          <w:fldChar w:fldCharType="begin"/>
        </w:r>
        <w:r>
          <w:rPr>
            <w:noProof/>
            <w:webHidden/>
          </w:rPr>
          <w:instrText xml:space="preserve"> PAGEREF _Toc243071051 \h </w:instrText>
        </w:r>
        <w:r>
          <w:rPr>
            <w:noProof/>
            <w:webHidden/>
          </w:rPr>
        </w:r>
        <w:r>
          <w:rPr>
            <w:noProof/>
            <w:webHidden/>
          </w:rPr>
          <w:fldChar w:fldCharType="separate"/>
        </w:r>
        <w:r>
          <w:rPr>
            <w:noProof/>
            <w:webHidden/>
          </w:rPr>
          <w:t>17</w:t>
        </w:r>
        <w:r>
          <w:rPr>
            <w:noProof/>
            <w:webHidden/>
          </w:rPr>
          <w:fldChar w:fldCharType="end"/>
        </w:r>
      </w:hyperlink>
    </w:p>
    <w:p w14:paraId="6C2FC58D" w14:textId="3CD70A2C" w:rsidR="00FD79DE" w:rsidRDefault="00FD79DE">
      <w:pPr>
        <w:pStyle w:val="Obsah1"/>
        <w:tabs>
          <w:tab w:val="right" w:leader="dot" w:pos="9288"/>
        </w:tabs>
        <w:rPr>
          <w:rFonts w:asciiTheme="minorHAnsi" w:hAnsiTheme="minorHAnsi"/>
          <w:noProof/>
          <w:color w:val="auto"/>
          <w:kern w:val="2"/>
          <w:sz w:val="24"/>
          <w:szCs w:val="24"/>
          <w:lang w:eastAsia="cs-CZ"/>
          <w14:ligatures w14:val="standardContextual"/>
        </w:rPr>
      </w:pPr>
      <w:hyperlink w:anchor="_Toc243071052" w:history="1">
        <w:r w:rsidRPr="00F65CFC">
          <w:rPr>
            <w:rStyle w:val="Hypertextovodkaz"/>
            <w:noProof/>
          </w:rPr>
          <w:t>19 Organizace práce zkušební laboratoře</w:t>
        </w:r>
        <w:r>
          <w:rPr>
            <w:noProof/>
            <w:webHidden/>
          </w:rPr>
          <w:tab/>
        </w:r>
        <w:r>
          <w:rPr>
            <w:noProof/>
            <w:webHidden/>
          </w:rPr>
          <w:fldChar w:fldCharType="begin"/>
        </w:r>
        <w:r>
          <w:rPr>
            <w:noProof/>
            <w:webHidden/>
          </w:rPr>
          <w:instrText xml:space="preserve"> PAGEREF _Toc243071052 \h </w:instrText>
        </w:r>
        <w:r>
          <w:rPr>
            <w:noProof/>
            <w:webHidden/>
          </w:rPr>
        </w:r>
        <w:r>
          <w:rPr>
            <w:noProof/>
            <w:webHidden/>
          </w:rPr>
          <w:fldChar w:fldCharType="separate"/>
        </w:r>
        <w:r>
          <w:rPr>
            <w:noProof/>
            <w:webHidden/>
          </w:rPr>
          <w:t>17</w:t>
        </w:r>
        <w:r>
          <w:rPr>
            <w:noProof/>
            <w:webHidden/>
          </w:rPr>
          <w:fldChar w:fldCharType="end"/>
        </w:r>
      </w:hyperlink>
    </w:p>
    <w:p w14:paraId="7FBAA53C" w14:textId="51EAAF6F" w:rsidR="00FD79DE" w:rsidRDefault="00FD79DE">
      <w:pPr>
        <w:pStyle w:val="Obsah1"/>
        <w:tabs>
          <w:tab w:val="right" w:leader="dot" w:pos="9288"/>
        </w:tabs>
        <w:rPr>
          <w:rFonts w:asciiTheme="minorHAnsi" w:hAnsiTheme="minorHAnsi"/>
          <w:noProof/>
          <w:color w:val="auto"/>
          <w:kern w:val="2"/>
          <w:sz w:val="24"/>
          <w:szCs w:val="24"/>
          <w:lang w:eastAsia="cs-CZ"/>
          <w14:ligatures w14:val="standardContextual"/>
        </w:rPr>
      </w:pPr>
      <w:hyperlink w:anchor="_Toc243071053" w:history="1">
        <w:r w:rsidRPr="00F65CFC">
          <w:rPr>
            <w:rStyle w:val="Hypertextovodkaz"/>
            <w:noProof/>
          </w:rPr>
          <w:t>20 Ověřování platnosti výsledků a porovnávání pracovišť</w:t>
        </w:r>
        <w:r>
          <w:rPr>
            <w:noProof/>
            <w:webHidden/>
          </w:rPr>
          <w:tab/>
        </w:r>
        <w:r>
          <w:rPr>
            <w:noProof/>
            <w:webHidden/>
          </w:rPr>
          <w:fldChar w:fldCharType="begin"/>
        </w:r>
        <w:r>
          <w:rPr>
            <w:noProof/>
            <w:webHidden/>
          </w:rPr>
          <w:instrText xml:space="preserve"> PAGEREF _Toc243071053 \h </w:instrText>
        </w:r>
        <w:r>
          <w:rPr>
            <w:noProof/>
            <w:webHidden/>
          </w:rPr>
        </w:r>
        <w:r>
          <w:rPr>
            <w:noProof/>
            <w:webHidden/>
          </w:rPr>
          <w:fldChar w:fldCharType="separate"/>
        </w:r>
        <w:r>
          <w:rPr>
            <w:noProof/>
            <w:webHidden/>
          </w:rPr>
          <w:t>18</w:t>
        </w:r>
        <w:r>
          <w:rPr>
            <w:noProof/>
            <w:webHidden/>
          </w:rPr>
          <w:fldChar w:fldCharType="end"/>
        </w:r>
      </w:hyperlink>
    </w:p>
    <w:p w14:paraId="3661E81B" w14:textId="7D289316" w:rsidR="00FD79DE" w:rsidRDefault="00FD79DE">
      <w:pPr>
        <w:pStyle w:val="Obsah1"/>
        <w:tabs>
          <w:tab w:val="right" w:leader="dot" w:pos="9288"/>
        </w:tabs>
        <w:rPr>
          <w:rFonts w:asciiTheme="minorHAnsi" w:hAnsiTheme="minorHAnsi"/>
          <w:noProof/>
          <w:color w:val="auto"/>
          <w:kern w:val="2"/>
          <w:sz w:val="24"/>
          <w:szCs w:val="24"/>
          <w:lang w:eastAsia="cs-CZ"/>
          <w14:ligatures w14:val="standardContextual"/>
        </w:rPr>
      </w:pPr>
      <w:hyperlink w:anchor="_Toc243071054" w:history="1">
        <w:r w:rsidRPr="00F65CFC">
          <w:rPr>
            <w:rStyle w:val="Hypertextovodkaz"/>
            <w:noProof/>
          </w:rPr>
          <w:t>21 Automatizované měření a digitální dokumentace</w:t>
        </w:r>
        <w:r>
          <w:rPr>
            <w:noProof/>
            <w:webHidden/>
          </w:rPr>
          <w:tab/>
        </w:r>
        <w:r>
          <w:rPr>
            <w:noProof/>
            <w:webHidden/>
          </w:rPr>
          <w:fldChar w:fldCharType="begin"/>
        </w:r>
        <w:r>
          <w:rPr>
            <w:noProof/>
            <w:webHidden/>
          </w:rPr>
          <w:instrText xml:space="preserve"> PAGEREF _Toc243071054 \h </w:instrText>
        </w:r>
        <w:r>
          <w:rPr>
            <w:noProof/>
            <w:webHidden/>
          </w:rPr>
        </w:r>
        <w:r>
          <w:rPr>
            <w:noProof/>
            <w:webHidden/>
          </w:rPr>
          <w:fldChar w:fldCharType="separate"/>
        </w:r>
        <w:r>
          <w:rPr>
            <w:noProof/>
            <w:webHidden/>
          </w:rPr>
          <w:t>19</w:t>
        </w:r>
        <w:r>
          <w:rPr>
            <w:noProof/>
            <w:webHidden/>
          </w:rPr>
          <w:fldChar w:fldCharType="end"/>
        </w:r>
      </w:hyperlink>
    </w:p>
    <w:p w14:paraId="651230A5" w14:textId="41DB34A3" w:rsidR="00FD79DE" w:rsidRDefault="00FD79DE">
      <w:pPr>
        <w:pStyle w:val="Obsah1"/>
        <w:tabs>
          <w:tab w:val="right" w:leader="dot" w:pos="9288"/>
        </w:tabs>
        <w:rPr>
          <w:rFonts w:asciiTheme="minorHAnsi" w:hAnsiTheme="minorHAnsi"/>
          <w:noProof/>
          <w:color w:val="auto"/>
          <w:kern w:val="2"/>
          <w:sz w:val="24"/>
          <w:szCs w:val="24"/>
          <w:lang w:eastAsia="cs-CZ"/>
          <w14:ligatures w14:val="standardContextual"/>
        </w:rPr>
      </w:pPr>
      <w:hyperlink w:anchor="_Toc243071055" w:history="1">
        <w:r w:rsidRPr="00F65CFC">
          <w:rPr>
            <w:rStyle w:val="Hypertextovodkaz"/>
            <w:noProof/>
          </w:rPr>
          <w:t>22 Zkoušky spolehlivosti a životnosti</w:t>
        </w:r>
        <w:r>
          <w:rPr>
            <w:noProof/>
            <w:webHidden/>
          </w:rPr>
          <w:tab/>
        </w:r>
        <w:r>
          <w:rPr>
            <w:noProof/>
            <w:webHidden/>
          </w:rPr>
          <w:fldChar w:fldCharType="begin"/>
        </w:r>
        <w:r>
          <w:rPr>
            <w:noProof/>
            <w:webHidden/>
          </w:rPr>
          <w:instrText xml:space="preserve"> PAGEREF _Toc243071055 \h </w:instrText>
        </w:r>
        <w:r>
          <w:rPr>
            <w:noProof/>
            <w:webHidden/>
          </w:rPr>
        </w:r>
        <w:r>
          <w:rPr>
            <w:noProof/>
            <w:webHidden/>
          </w:rPr>
          <w:fldChar w:fldCharType="separate"/>
        </w:r>
        <w:r>
          <w:rPr>
            <w:noProof/>
            <w:webHidden/>
          </w:rPr>
          <w:t>20</w:t>
        </w:r>
        <w:r>
          <w:rPr>
            <w:noProof/>
            <w:webHidden/>
          </w:rPr>
          <w:fldChar w:fldCharType="end"/>
        </w:r>
      </w:hyperlink>
    </w:p>
    <w:p w14:paraId="05E105CF" w14:textId="57921F06" w:rsidR="00FD79DE" w:rsidRDefault="00FD79DE">
      <w:pPr>
        <w:pStyle w:val="Obsah1"/>
        <w:tabs>
          <w:tab w:val="right" w:leader="dot" w:pos="9288"/>
        </w:tabs>
        <w:rPr>
          <w:rFonts w:asciiTheme="minorHAnsi" w:hAnsiTheme="minorHAnsi"/>
          <w:noProof/>
          <w:color w:val="auto"/>
          <w:kern w:val="2"/>
          <w:sz w:val="24"/>
          <w:szCs w:val="24"/>
          <w:lang w:eastAsia="cs-CZ"/>
          <w14:ligatures w14:val="standardContextual"/>
        </w:rPr>
      </w:pPr>
      <w:hyperlink w:anchor="_Toc243071056" w:history="1">
        <w:r w:rsidRPr="00F65CFC">
          <w:rPr>
            <w:rStyle w:val="Hypertextovodkaz"/>
            <w:noProof/>
          </w:rPr>
          <w:t>23 Provozní diagnostika a řízení změn</w:t>
        </w:r>
        <w:r>
          <w:rPr>
            <w:noProof/>
            <w:webHidden/>
          </w:rPr>
          <w:tab/>
        </w:r>
        <w:r>
          <w:rPr>
            <w:noProof/>
            <w:webHidden/>
          </w:rPr>
          <w:fldChar w:fldCharType="begin"/>
        </w:r>
        <w:r>
          <w:rPr>
            <w:noProof/>
            <w:webHidden/>
          </w:rPr>
          <w:instrText xml:space="preserve"> PAGEREF _Toc243071056 \h </w:instrText>
        </w:r>
        <w:r>
          <w:rPr>
            <w:noProof/>
            <w:webHidden/>
          </w:rPr>
        </w:r>
        <w:r>
          <w:rPr>
            <w:noProof/>
            <w:webHidden/>
          </w:rPr>
          <w:fldChar w:fldCharType="separate"/>
        </w:r>
        <w:r>
          <w:rPr>
            <w:noProof/>
            <w:webHidden/>
          </w:rPr>
          <w:t>21</w:t>
        </w:r>
        <w:r>
          <w:rPr>
            <w:noProof/>
            <w:webHidden/>
          </w:rPr>
          <w:fldChar w:fldCharType="end"/>
        </w:r>
      </w:hyperlink>
    </w:p>
    <w:p w14:paraId="24A87DD7" w14:textId="3D9403B4" w:rsidR="00FD79DE" w:rsidRDefault="00FD79DE">
      <w:pPr>
        <w:pStyle w:val="Obsah1"/>
        <w:tabs>
          <w:tab w:val="right" w:leader="dot" w:pos="9288"/>
        </w:tabs>
        <w:rPr>
          <w:rFonts w:asciiTheme="minorHAnsi" w:hAnsiTheme="minorHAnsi"/>
          <w:noProof/>
          <w:color w:val="auto"/>
          <w:kern w:val="2"/>
          <w:sz w:val="24"/>
          <w:szCs w:val="24"/>
          <w:lang w:eastAsia="cs-CZ"/>
          <w14:ligatures w14:val="standardContextual"/>
        </w:rPr>
      </w:pPr>
      <w:hyperlink w:anchor="_Toc243071057" w:history="1">
        <w:r w:rsidRPr="00F65CFC">
          <w:rPr>
            <w:rStyle w:val="Hypertextovodkaz"/>
            <w:noProof/>
          </w:rPr>
          <w:t>24 Ekonomika kontroly a výběr dodavatelů</w:t>
        </w:r>
        <w:r>
          <w:rPr>
            <w:noProof/>
            <w:webHidden/>
          </w:rPr>
          <w:tab/>
        </w:r>
        <w:r>
          <w:rPr>
            <w:noProof/>
            <w:webHidden/>
          </w:rPr>
          <w:fldChar w:fldCharType="begin"/>
        </w:r>
        <w:r>
          <w:rPr>
            <w:noProof/>
            <w:webHidden/>
          </w:rPr>
          <w:instrText xml:space="preserve"> PAGEREF _Toc243071057 \h </w:instrText>
        </w:r>
        <w:r>
          <w:rPr>
            <w:noProof/>
            <w:webHidden/>
          </w:rPr>
        </w:r>
        <w:r>
          <w:rPr>
            <w:noProof/>
            <w:webHidden/>
          </w:rPr>
          <w:fldChar w:fldCharType="separate"/>
        </w:r>
        <w:r>
          <w:rPr>
            <w:noProof/>
            <w:webHidden/>
          </w:rPr>
          <w:t>22</w:t>
        </w:r>
        <w:r>
          <w:rPr>
            <w:noProof/>
            <w:webHidden/>
          </w:rPr>
          <w:fldChar w:fldCharType="end"/>
        </w:r>
      </w:hyperlink>
    </w:p>
    <w:p w14:paraId="6EF057F3" w14:textId="3E60CA33" w:rsidR="00FD79DE" w:rsidRDefault="00FD79DE">
      <w:pPr>
        <w:pStyle w:val="Obsah1"/>
        <w:tabs>
          <w:tab w:val="right" w:leader="dot" w:pos="9288"/>
        </w:tabs>
        <w:rPr>
          <w:rFonts w:asciiTheme="minorHAnsi" w:hAnsiTheme="minorHAnsi"/>
          <w:noProof/>
          <w:color w:val="auto"/>
          <w:kern w:val="2"/>
          <w:sz w:val="24"/>
          <w:szCs w:val="24"/>
          <w:lang w:eastAsia="cs-CZ"/>
          <w14:ligatures w14:val="standardContextual"/>
        </w:rPr>
      </w:pPr>
      <w:hyperlink w:anchor="_Toc243071058" w:history="1">
        <w:r w:rsidRPr="00F65CFC">
          <w:rPr>
            <w:rStyle w:val="Hypertextovodkaz"/>
            <w:noProof/>
          </w:rPr>
          <w:t>25 Rozšířené pracovní případy</w:t>
        </w:r>
        <w:r>
          <w:rPr>
            <w:noProof/>
            <w:webHidden/>
          </w:rPr>
          <w:tab/>
        </w:r>
        <w:r>
          <w:rPr>
            <w:noProof/>
            <w:webHidden/>
          </w:rPr>
          <w:fldChar w:fldCharType="begin"/>
        </w:r>
        <w:r>
          <w:rPr>
            <w:noProof/>
            <w:webHidden/>
          </w:rPr>
          <w:instrText xml:space="preserve"> PAGEREF _Toc243071058 \h </w:instrText>
        </w:r>
        <w:r>
          <w:rPr>
            <w:noProof/>
            <w:webHidden/>
          </w:rPr>
        </w:r>
        <w:r>
          <w:rPr>
            <w:noProof/>
            <w:webHidden/>
          </w:rPr>
          <w:fldChar w:fldCharType="separate"/>
        </w:r>
        <w:r>
          <w:rPr>
            <w:noProof/>
            <w:webHidden/>
          </w:rPr>
          <w:t>23</w:t>
        </w:r>
        <w:r>
          <w:rPr>
            <w:noProof/>
            <w:webHidden/>
          </w:rPr>
          <w:fldChar w:fldCharType="end"/>
        </w:r>
      </w:hyperlink>
    </w:p>
    <w:p w14:paraId="156B03FC" w14:textId="22BFF80B" w:rsidR="00FD79DE" w:rsidRDefault="00FD79DE">
      <w:pPr>
        <w:pStyle w:val="Obsah1"/>
        <w:tabs>
          <w:tab w:val="right" w:leader="dot" w:pos="9288"/>
        </w:tabs>
        <w:rPr>
          <w:rFonts w:asciiTheme="minorHAnsi" w:hAnsiTheme="minorHAnsi"/>
          <w:noProof/>
          <w:color w:val="auto"/>
          <w:kern w:val="2"/>
          <w:sz w:val="24"/>
          <w:szCs w:val="24"/>
          <w:lang w:eastAsia="cs-CZ"/>
          <w14:ligatures w14:val="standardContextual"/>
        </w:rPr>
      </w:pPr>
      <w:hyperlink w:anchor="_Toc243071059" w:history="1">
        <w:r w:rsidRPr="00F65CFC">
          <w:rPr>
            <w:rStyle w:val="Hypertextovodkaz"/>
            <w:noProof/>
          </w:rPr>
          <w:t>26 Podrobnější rozpočet nejistoty měření</w:t>
        </w:r>
        <w:r>
          <w:rPr>
            <w:noProof/>
            <w:webHidden/>
          </w:rPr>
          <w:tab/>
        </w:r>
        <w:r>
          <w:rPr>
            <w:noProof/>
            <w:webHidden/>
          </w:rPr>
          <w:fldChar w:fldCharType="begin"/>
        </w:r>
        <w:r>
          <w:rPr>
            <w:noProof/>
            <w:webHidden/>
          </w:rPr>
          <w:instrText xml:space="preserve"> PAGEREF _Toc243071059 \h </w:instrText>
        </w:r>
        <w:r>
          <w:rPr>
            <w:noProof/>
            <w:webHidden/>
          </w:rPr>
        </w:r>
        <w:r>
          <w:rPr>
            <w:noProof/>
            <w:webHidden/>
          </w:rPr>
          <w:fldChar w:fldCharType="separate"/>
        </w:r>
        <w:r>
          <w:rPr>
            <w:noProof/>
            <w:webHidden/>
          </w:rPr>
          <w:t>23</w:t>
        </w:r>
        <w:r>
          <w:rPr>
            <w:noProof/>
            <w:webHidden/>
          </w:rPr>
          <w:fldChar w:fldCharType="end"/>
        </w:r>
      </w:hyperlink>
    </w:p>
    <w:p w14:paraId="45849404" w14:textId="2070462D" w:rsidR="00FD79DE" w:rsidRDefault="00FD79DE">
      <w:pPr>
        <w:pStyle w:val="Obsah1"/>
        <w:tabs>
          <w:tab w:val="right" w:leader="dot" w:pos="9288"/>
        </w:tabs>
        <w:rPr>
          <w:rFonts w:asciiTheme="minorHAnsi" w:hAnsiTheme="minorHAnsi"/>
          <w:noProof/>
          <w:color w:val="auto"/>
          <w:kern w:val="2"/>
          <w:sz w:val="24"/>
          <w:szCs w:val="24"/>
          <w:lang w:eastAsia="cs-CZ"/>
          <w14:ligatures w14:val="standardContextual"/>
        </w:rPr>
      </w:pPr>
      <w:hyperlink w:anchor="_Toc243071060" w:history="1">
        <w:r w:rsidRPr="00F65CFC">
          <w:rPr>
            <w:rStyle w:val="Hypertextovodkaz"/>
            <w:noProof/>
          </w:rPr>
          <w:t>27 Plánování zkoušek při vývoji výrobku</w:t>
        </w:r>
        <w:r>
          <w:rPr>
            <w:noProof/>
            <w:webHidden/>
          </w:rPr>
          <w:tab/>
        </w:r>
        <w:r>
          <w:rPr>
            <w:noProof/>
            <w:webHidden/>
          </w:rPr>
          <w:fldChar w:fldCharType="begin"/>
        </w:r>
        <w:r>
          <w:rPr>
            <w:noProof/>
            <w:webHidden/>
          </w:rPr>
          <w:instrText xml:space="preserve"> PAGEREF _Toc243071060 \h </w:instrText>
        </w:r>
        <w:r>
          <w:rPr>
            <w:noProof/>
            <w:webHidden/>
          </w:rPr>
        </w:r>
        <w:r>
          <w:rPr>
            <w:noProof/>
            <w:webHidden/>
          </w:rPr>
          <w:fldChar w:fldCharType="separate"/>
        </w:r>
        <w:r>
          <w:rPr>
            <w:noProof/>
            <w:webHidden/>
          </w:rPr>
          <w:t>24</w:t>
        </w:r>
        <w:r>
          <w:rPr>
            <w:noProof/>
            <w:webHidden/>
          </w:rPr>
          <w:fldChar w:fldCharType="end"/>
        </w:r>
      </w:hyperlink>
    </w:p>
    <w:p w14:paraId="0A2F4382" w14:textId="6C55969D" w:rsidR="00FD79DE" w:rsidRDefault="00FD79DE">
      <w:pPr>
        <w:pStyle w:val="Obsah1"/>
        <w:tabs>
          <w:tab w:val="right" w:leader="dot" w:pos="9288"/>
        </w:tabs>
        <w:rPr>
          <w:rFonts w:asciiTheme="minorHAnsi" w:hAnsiTheme="minorHAnsi"/>
          <w:noProof/>
          <w:color w:val="auto"/>
          <w:kern w:val="2"/>
          <w:sz w:val="24"/>
          <w:szCs w:val="24"/>
          <w:lang w:eastAsia="cs-CZ"/>
          <w14:ligatures w14:val="standardContextual"/>
        </w:rPr>
      </w:pPr>
      <w:hyperlink w:anchor="_Toc243071061" w:history="1">
        <w:r w:rsidRPr="00F65CFC">
          <w:rPr>
            <w:rStyle w:val="Hypertextovodkaz"/>
            <w:noProof/>
          </w:rPr>
          <w:t>28 Technická zpráva a předávání výsledků</w:t>
        </w:r>
        <w:r>
          <w:rPr>
            <w:noProof/>
            <w:webHidden/>
          </w:rPr>
          <w:tab/>
        </w:r>
        <w:r>
          <w:rPr>
            <w:noProof/>
            <w:webHidden/>
          </w:rPr>
          <w:fldChar w:fldCharType="begin"/>
        </w:r>
        <w:r>
          <w:rPr>
            <w:noProof/>
            <w:webHidden/>
          </w:rPr>
          <w:instrText xml:space="preserve"> PAGEREF _Toc243071061 \h </w:instrText>
        </w:r>
        <w:r>
          <w:rPr>
            <w:noProof/>
            <w:webHidden/>
          </w:rPr>
        </w:r>
        <w:r>
          <w:rPr>
            <w:noProof/>
            <w:webHidden/>
          </w:rPr>
          <w:fldChar w:fldCharType="separate"/>
        </w:r>
        <w:r>
          <w:rPr>
            <w:noProof/>
            <w:webHidden/>
          </w:rPr>
          <w:t>25</w:t>
        </w:r>
        <w:r>
          <w:rPr>
            <w:noProof/>
            <w:webHidden/>
          </w:rPr>
          <w:fldChar w:fldCharType="end"/>
        </w:r>
      </w:hyperlink>
    </w:p>
    <w:p w14:paraId="523D94D6" w14:textId="0764FFD0" w:rsidR="00FD79DE" w:rsidRDefault="00FD79DE">
      <w:pPr>
        <w:pStyle w:val="Obsah1"/>
        <w:tabs>
          <w:tab w:val="right" w:leader="dot" w:pos="9288"/>
        </w:tabs>
        <w:rPr>
          <w:rFonts w:asciiTheme="minorHAnsi" w:hAnsiTheme="minorHAnsi"/>
          <w:noProof/>
          <w:color w:val="auto"/>
          <w:kern w:val="2"/>
          <w:sz w:val="24"/>
          <w:szCs w:val="24"/>
          <w:lang w:eastAsia="cs-CZ"/>
          <w14:ligatures w14:val="standardContextual"/>
        </w:rPr>
      </w:pPr>
      <w:hyperlink w:anchor="_Toc243071062" w:history="1">
        <w:r w:rsidRPr="00F65CFC">
          <w:rPr>
            <w:rStyle w:val="Hypertextovodkaz"/>
            <w:noProof/>
          </w:rPr>
          <w:t>29 Slovníček a přehled institucí</w:t>
        </w:r>
        <w:r>
          <w:rPr>
            <w:noProof/>
            <w:webHidden/>
          </w:rPr>
          <w:tab/>
        </w:r>
        <w:r>
          <w:rPr>
            <w:noProof/>
            <w:webHidden/>
          </w:rPr>
          <w:fldChar w:fldCharType="begin"/>
        </w:r>
        <w:r>
          <w:rPr>
            <w:noProof/>
            <w:webHidden/>
          </w:rPr>
          <w:instrText xml:space="preserve"> PAGEREF _Toc243071062 \h </w:instrText>
        </w:r>
        <w:r>
          <w:rPr>
            <w:noProof/>
            <w:webHidden/>
          </w:rPr>
        </w:r>
        <w:r>
          <w:rPr>
            <w:noProof/>
            <w:webHidden/>
          </w:rPr>
          <w:fldChar w:fldCharType="separate"/>
        </w:r>
        <w:r>
          <w:rPr>
            <w:noProof/>
            <w:webHidden/>
          </w:rPr>
          <w:t>26</w:t>
        </w:r>
        <w:r>
          <w:rPr>
            <w:noProof/>
            <w:webHidden/>
          </w:rPr>
          <w:fldChar w:fldCharType="end"/>
        </w:r>
      </w:hyperlink>
    </w:p>
    <w:p w14:paraId="1F83C1F1" w14:textId="1F288E78" w:rsidR="00FD79DE" w:rsidRDefault="00FD79DE">
      <w:pPr>
        <w:pStyle w:val="Obsah1"/>
        <w:tabs>
          <w:tab w:val="right" w:leader="dot" w:pos="9288"/>
        </w:tabs>
        <w:rPr>
          <w:rFonts w:asciiTheme="minorHAnsi" w:hAnsiTheme="minorHAnsi"/>
          <w:noProof/>
          <w:color w:val="auto"/>
          <w:kern w:val="2"/>
          <w:sz w:val="24"/>
          <w:szCs w:val="24"/>
          <w:lang w:eastAsia="cs-CZ"/>
          <w14:ligatures w14:val="standardContextual"/>
        </w:rPr>
      </w:pPr>
      <w:hyperlink w:anchor="_Toc243071063" w:history="1">
        <w:r w:rsidRPr="00F65CFC">
          <w:rPr>
            <w:rStyle w:val="Hypertextovodkaz"/>
            <w:noProof/>
          </w:rPr>
          <w:t>30 Použité podklady a doporučené zdroje</w:t>
        </w:r>
        <w:r>
          <w:rPr>
            <w:noProof/>
            <w:webHidden/>
          </w:rPr>
          <w:tab/>
        </w:r>
        <w:r>
          <w:rPr>
            <w:noProof/>
            <w:webHidden/>
          </w:rPr>
          <w:fldChar w:fldCharType="begin"/>
        </w:r>
        <w:r>
          <w:rPr>
            <w:noProof/>
            <w:webHidden/>
          </w:rPr>
          <w:instrText xml:space="preserve"> PAGEREF _Toc243071063 \h </w:instrText>
        </w:r>
        <w:r>
          <w:rPr>
            <w:noProof/>
            <w:webHidden/>
          </w:rPr>
        </w:r>
        <w:r>
          <w:rPr>
            <w:noProof/>
            <w:webHidden/>
          </w:rPr>
          <w:fldChar w:fldCharType="separate"/>
        </w:r>
        <w:r>
          <w:rPr>
            <w:noProof/>
            <w:webHidden/>
          </w:rPr>
          <w:t>26</w:t>
        </w:r>
        <w:r>
          <w:rPr>
            <w:noProof/>
            <w:webHidden/>
          </w:rPr>
          <w:fldChar w:fldCharType="end"/>
        </w:r>
      </w:hyperlink>
    </w:p>
    <w:p w14:paraId="1CB3F91E" w14:textId="5D0D7303" w:rsidR="00FD79DE" w:rsidRDefault="00FD79DE">
      <w:pPr>
        <w:pStyle w:val="Obsah1"/>
        <w:tabs>
          <w:tab w:val="right" w:leader="dot" w:pos="9288"/>
        </w:tabs>
        <w:rPr>
          <w:rFonts w:asciiTheme="minorHAnsi" w:hAnsiTheme="minorHAnsi"/>
          <w:noProof/>
          <w:color w:val="auto"/>
          <w:kern w:val="2"/>
          <w:sz w:val="24"/>
          <w:szCs w:val="24"/>
          <w:lang w:eastAsia="cs-CZ"/>
          <w14:ligatures w14:val="standardContextual"/>
        </w:rPr>
      </w:pPr>
      <w:hyperlink w:anchor="_Toc243071064" w:history="1">
        <w:r w:rsidRPr="00F65CFC">
          <w:rPr>
            <w:rStyle w:val="Hypertextovodkaz"/>
            <w:noProof/>
            <w:lang w:bidi="cs-CZ"/>
          </w:rPr>
          <w:t>Jak Příručka vznikla</w:t>
        </w:r>
        <w:r>
          <w:rPr>
            <w:noProof/>
            <w:webHidden/>
          </w:rPr>
          <w:tab/>
        </w:r>
        <w:r>
          <w:rPr>
            <w:noProof/>
            <w:webHidden/>
          </w:rPr>
          <w:fldChar w:fldCharType="begin"/>
        </w:r>
        <w:r>
          <w:rPr>
            <w:noProof/>
            <w:webHidden/>
          </w:rPr>
          <w:instrText xml:space="preserve"> PAGEREF _Toc243071064 \h </w:instrText>
        </w:r>
        <w:r>
          <w:rPr>
            <w:noProof/>
            <w:webHidden/>
          </w:rPr>
        </w:r>
        <w:r>
          <w:rPr>
            <w:noProof/>
            <w:webHidden/>
          </w:rPr>
          <w:fldChar w:fldCharType="separate"/>
        </w:r>
        <w:r>
          <w:rPr>
            <w:noProof/>
            <w:webHidden/>
          </w:rPr>
          <w:t>28</w:t>
        </w:r>
        <w:r>
          <w:rPr>
            <w:noProof/>
            <w:webHidden/>
          </w:rPr>
          <w:fldChar w:fldCharType="end"/>
        </w:r>
      </w:hyperlink>
    </w:p>
    <w:p w14:paraId="3F68C113" w14:textId="33B4D845" w:rsidR="00FD79DE" w:rsidRDefault="00FD79DE">
      <w:pPr>
        <w:pStyle w:val="Obsah1"/>
        <w:tabs>
          <w:tab w:val="right" w:leader="dot" w:pos="9288"/>
        </w:tabs>
        <w:rPr>
          <w:rFonts w:asciiTheme="minorHAnsi" w:hAnsiTheme="minorHAnsi"/>
          <w:noProof/>
          <w:color w:val="auto"/>
          <w:kern w:val="2"/>
          <w:sz w:val="24"/>
          <w:szCs w:val="24"/>
          <w:lang w:eastAsia="cs-CZ"/>
          <w14:ligatures w14:val="standardContextual"/>
        </w:rPr>
      </w:pPr>
      <w:hyperlink w:anchor="_Toc243071065" w:history="1">
        <w:r w:rsidRPr="00F65CFC">
          <w:rPr>
            <w:rStyle w:val="Hypertextovodkaz"/>
            <w:noProof/>
            <w:lang w:bidi="cs-CZ"/>
          </w:rPr>
          <w:t>Publikační práva</w:t>
        </w:r>
        <w:r>
          <w:rPr>
            <w:noProof/>
            <w:webHidden/>
          </w:rPr>
          <w:tab/>
        </w:r>
        <w:r>
          <w:rPr>
            <w:noProof/>
            <w:webHidden/>
          </w:rPr>
          <w:fldChar w:fldCharType="begin"/>
        </w:r>
        <w:r>
          <w:rPr>
            <w:noProof/>
            <w:webHidden/>
          </w:rPr>
          <w:instrText xml:space="preserve"> PAGEREF _Toc243071065 \h </w:instrText>
        </w:r>
        <w:r>
          <w:rPr>
            <w:noProof/>
            <w:webHidden/>
          </w:rPr>
        </w:r>
        <w:r>
          <w:rPr>
            <w:noProof/>
            <w:webHidden/>
          </w:rPr>
          <w:fldChar w:fldCharType="separate"/>
        </w:r>
        <w:r>
          <w:rPr>
            <w:noProof/>
            <w:webHidden/>
          </w:rPr>
          <w:t>28</w:t>
        </w:r>
        <w:r>
          <w:rPr>
            <w:noProof/>
            <w:webHidden/>
          </w:rPr>
          <w:fldChar w:fldCharType="end"/>
        </w:r>
      </w:hyperlink>
    </w:p>
    <w:p w14:paraId="2F7D87E3" w14:textId="30C3D330" w:rsidR="00DA3257" w:rsidRPr="00DA3257" w:rsidRDefault="00DA3257" w:rsidP="00DA3257">
      <w:pPr>
        <w:spacing w:line="240" w:lineRule="auto"/>
        <w:jc w:val="both"/>
      </w:pPr>
      <w:r>
        <w:lastRenderedPageBreak/>
        <w:fldChar w:fldCharType="end"/>
      </w:r>
    </w:p>
    <w:p w14:paraId="7357CF2C" w14:textId="77777777" w:rsidR="00B33274" w:rsidRPr="00B33274" w:rsidRDefault="00B33274" w:rsidP="00DA3257">
      <w:pPr>
        <w:pStyle w:val="Nadpis1"/>
        <w:spacing w:before="0" w:line="240" w:lineRule="auto"/>
        <w:jc w:val="both"/>
      </w:pPr>
      <w:bookmarkStart w:id="0" w:name="_Toc243068407"/>
      <w:bookmarkStart w:id="1" w:name="_Toc243068614"/>
      <w:bookmarkStart w:id="2" w:name="_Toc243068765"/>
      <w:bookmarkStart w:id="3" w:name="_Toc243071033"/>
      <w:r w:rsidRPr="00B33274">
        <w:t>Účel příručky</w:t>
      </w:r>
      <w:bookmarkEnd w:id="0"/>
      <w:bookmarkEnd w:id="1"/>
      <w:bookmarkEnd w:id="2"/>
      <w:bookmarkEnd w:id="3"/>
    </w:p>
    <w:p w14:paraId="0AB3B370" w14:textId="77777777" w:rsidR="00B33274" w:rsidRPr="00B33274" w:rsidRDefault="00B33274" w:rsidP="00DA3257">
      <w:pPr>
        <w:spacing w:line="240" w:lineRule="auto"/>
        <w:jc w:val="both"/>
      </w:pPr>
      <w:r w:rsidRPr="00B33274">
        <w:t>Tato příručka pomáhá vodohospodářům vyhledávat a používat technické normy, určovat požadavky na výrobky a služby, vybírat vhodné metody měření, zadávat zkoušky a vyhodnocovat jejich výsledky. Pozornost věnuje také správě měřidel, přejímce dodávek, řešení neshod a uchování dokumentace.</w:t>
      </w:r>
    </w:p>
    <w:p w14:paraId="2AF78B42" w14:textId="77777777" w:rsidR="00B33274" w:rsidRPr="00B33274" w:rsidRDefault="00B33274" w:rsidP="00DA3257">
      <w:pPr>
        <w:spacing w:line="240" w:lineRule="auto"/>
        <w:jc w:val="both"/>
      </w:pPr>
      <w:r w:rsidRPr="00B33274">
        <w:t>Je určena pracovníkům vodohospodářských podniků, provozovatelům vodovodů a kanalizací, správcům vodních toků a vodních děl, projektantům, investorům, dodavatelům, laboratořím a odborným pracovníkům veřejné správy.</w:t>
      </w:r>
    </w:p>
    <w:p w14:paraId="75A625F6" w14:textId="77777777" w:rsidR="00B33274" w:rsidRPr="00B33274" w:rsidRDefault="00B33274" w:rsidP="00DA3257">
      <w:pPr>
        <w:spacing w:line="240" w:lineRule="auto"/>
        <w:jc w:val="both"/>
      </w:pPr>
      <w:r w:rsidRPr="00B33274">
        <w:t>Společným cílem těchto profesí je zajistit, aby navržené a provozované soustavy spolehlivě plnily svůj účel a aby rozhodování o vodě vycházelo z průkazných údajů. Technická normalizace, metrologie a zkušebnictví k tomu přispívají tím, že propojují požadavek, pracovní postup a ověřený výsledek.</w:t>
      </w:r>
    </w:p>
    <w:p w14:paraId="26D58374" w14:textId="77777777" w:rsidR="00B33274" w:rsidRPr="00B33274" w:rsidRDefault="00B33274" w:rsidP="000021FE">
      <w:pPr>
        <w:pStyle w:val="Nadpis2"/>
      </w:pPr>
      <w:bookmarkStart w:id="4" w:name="_Toc243068408"/>
      <w:bookmarkStart w:id="5" w:name="_Toc243068615"/>
      <w:bookmarkStart w:id="6" w:name="_Toc243068766"/>
      <w:r w:rsidRPr="00B33274">
        <w:t>Význam technické normalizace a zkušebnictví ve vodním hospodářství</w:t>
      </w:r>
      <w:bookmarkEnd w:id="4"/>
      <w:bookmarkEnd w:id="5"/>
      <w:bookmarkEnd w:id="6"/>
    </w:p>
    <w:p w14:paraId="6820D29A" w14:textId="77777777" w:rsidR="00B33274" w:rsidRPr="00B33274" w:rsidRDefault="00B33274" w:rsidP="00DA3257">
      <w:pPr>
        <w:spacing w:line="240" w:lineRule="auto"/>
        <w:jc w:val="both"/>
      </w:pPr>
      <w:r w:rsidRPr="00B33274">
        <w:t>Vodní hospodářství spojuje péči o vodní zdroje s navrhováním, výstavbou a provozem zařízení, která slouží obyvatelstvu, průmyslu, zemědělství i ochraně krajiny. Spolehlivost těchto činností závisí na správném určení požadavků, na vhodném technickém řešení a na průkazném ověření jeho vlastností. Technická normalizace, metrologie a zkušebnictví poskytují prostředky, jimiž se tyto požadavky převádějí do každodenní odborné práce.</w:t>
      </w:r>
    </w:p>
    <w:p w14:paraId="4E3C5980" w14:textId="16D95862" w:rsidR="00B33274" w:rsidRPr="00B33274" w:rsidRDefault="00B33274" w:rsidP="00DA3257">
      <w:pPr>
        <w:spacing w:line="240" w:lineRule="auto"/>
        <w:jc w:val="both"/>
      </w:pPr>
      <w:r w:rsidRPr="00B33274">
        <w:t>Pro vodohospodáře má tato oblast bezprostřední význam. Rozhoduje se podle ní o vhodnosti potrubí a</w:t>
      </w:r>
      <w:r w:rsidR="000021FE" w:rsidRPr="00B33274">
        <w:t> </w:t>
      </w:r>
      <w:r w:rsidRPr="00B33274">
        <w:t>armatur, o převzetí stavebních konstrukcí, o funkci čerpacích a technologických zařízení i o důvěryhodnosti údajů o množství a kvalitě vody. Chyba se přitom nemusí projevit ihned. Nevhodně zvolený materiál, nedostatečně ověřený spoj nebo nesprávně vyhodnocené měření mohou způsobovat problémy až po delší době provozu, kdy je jejich odstranění obtížné a nákladné.</w:t>
      </w:r>
    </w:p>
    <w:p w14:paraId="7C42717E" w14:textId="77777777" w:rsidR="00B33274" w:rsidRPr="00B33274" w:rsidRDefault="00B33274" w:rsidP="00DA3257">
      <w:pPr>
        <w:spacing w:line="240" w:lineRule="auto"/>
        <w:jc w:val="both"/>
      </w:pPr>
      <w:r w:rsidRPr="00B33274">
        <w:t>Úkolem vodohospodáře je proto udržovat spojení mezi účelem zařízení, požadovanými vlastnostmi a důkazy o jejich splnění. Každé významné technické rozhodnutí má být možné zpětně vysvětlit: z jakého požadavku vycházelo, jaké podklady byly použity, co bylo ověřeno a kdo výsledek vyhodnotil.</w:t>
      </w:r>
    </w:p>
    <w:p w14:paraId="1C08E17E" w14:textId="77777777" w:rsidR="00B33274" w:rsidRPr="00B33274" w:rsidRDefault="00B33274" w:rsidP="00DA3257">
      <w:pPr>
        <w:pStyle w:val="Nadpis2"/>
        <w:spacing w:before="0" w:line="240" w:lineRule="auto"/>
        <w:jc w:val="both"/>
      </w:pPr>
      <w:bookmarkStart w:id="7" w:name="_Toc243068616"/>
      <w:r w:rsidRPr="00B33274">
        <w:t>Technické normy jako společný základ odborné práce</w:t>
      </w:r>
      <w:bookmarkEnd w:id="7"/>
    </w:p>
    <w:p w14:paraId="1BBF55D9" w14:textId="77777777" w:rsidR="00B33274" w:rsidRPr="00B33274" w:rsidRDefault="00B33274" w:rsidP="00DA3257">
      <w:pPr>
        <w:spacing w:line="240" w:lineRule="auto"/>
        <w:jc w:val="both"/>
      </w:pPr>
      <w:r w:rsidRPr="00B33274">
        <w:t>Vodohospodářské dílo vzniká spoluprací investora, projektanta, dodavatelů, zhotovitele, odborných laboratoří a budoucího provozovatele. Každý z těchto účastníků posuzuje určitou část celku. Technické normy umožňují používat společné názvosloví, srovnatelné charakteristiky a dohodnuté postupy.</w:t>
      </w:r>
    </w:p>
    <w:p w14:paraId="164D2CB8" w14:textId="77777777" w:rsidR="00B33274" w:rsidRPr="00B33274" w:rsidRDefault="00B33274" w:rsidP="00DA3257">
      <w:pPr>
        <w:spacing w:line="240" w:lineRule="auto"/>
        <w:jc w:val="both"/>
      </w:pPr>
      <w:r w:rsidRPr="00B33274">
        <w:t>Význam normalizace je patrný například u potrubních systémů. Pro vzájemnou použitelnost součástí musí být jednoznačně určeny rozměry a připojení. Pro jejich provozní vhodnost jsou však rozhodující také materiál, tlakové a teplotní podmínky, charakter dopravované látky, vnější zatížení a způsob uložení. Shodný jmenovitý rozměr proto ještě nedokládá, že lze dvě součásti bez dalšího zaměnit.</w:t>
      </w:r>
    </w:p>
    <w:p w14:paraId="29B93BE1" w14:textId="77777777" w:rsidR="00B33274" w:rsidRPr="00B33274" w:rsidRDefault="00B33274" w:rsidP="00DA3257">
      <w:pPr>
        <w:spacing w:line="240" w:lineRule="auto"/>
        <w:jc w:val="both"/>
      </w:pPr>
      <w:r w:rsidRPr="00B33274">
        <w:t>Obdobně je třeba postupovat při výběru čerpadel, měřidel, nádrží nebo zařízení pro úpravu a čištění vody. Technická specifikace má vyjadřovat skutečnou potřebu. Obecné označení výrobku nebo odkaz na jeho obchodní řadu nestačí tam, kde rozhodují konkrétní vlastnosti.</w:t>
      </w:r>
    </w:p>
    <w:p w14:paraId="423AE095" w14:textId="77777777" w:rsidR="00B33274" w:rsidRPr="00B33274" w:rsidRDefault="00B33274" w:rsidP="00DA3257">
      <w:pPr>
        <w:spacing w:line="240" w:lineRule="auto"/>
        <w:jc w:val="both"/>
      </w:pPr>
      <w:r w:rsidRPr="00B33274">
        <w:t>Norma poskytuje odborný podklad, jeho použití však vyžaduje porozumění předmětu a podmínkám platnosti. Vodohospodář musí posoudit, zda se dokument vztahuje na daný výrobek, prostředí a pracovní úkol. Současně rozlišuje požadavky vyplývající z právních předpisů, smluv, projektové dokumentace a interních provozních pravidel.</w:t>
      </w:r>
    </w:p>
    <w:p w14:paraId="67C696A8" w14:textId="77777777" w:rsidR="00B33274" w:rsidRPr="00B33274" w:rsidRDefault="00B33274" w:rsidP="00DA3257">
      <w:pPr>
        <w:pStyle w:val="Nadpis2"/>
        <w:spacing w:before="0" w:line="240" w:lineRule="auto"/>
        <w:jc w:val="both"/>
      </w:pPr>
      <w:bookmarkStart w:id="8" w:name="_Toc243068617"/>
      <w:r w:rsidRPr="00B33274">
        <w:t>Měření jako podklad vodohospodářského rozhodování</w:t>
      </w:r>
      <w:bookmarkEnd w:id="8"/>
    </w:p>
    <w:p w14:paraId="488EA5C3" w14:textId="77777777" w:rsidR="00B33274" w:rsidRPr="00B33274" w:rsidRDefault="00B33274" w:rsidP="00DA3257">
      <w:pPr>
        <w:spacing w:line="240" w:lineRule="auto"/>
        <w:jc w:val="both"/>
      </w:pPr>
      <w:r w:rsidRPr="00B33274">
        <w:t>Vodní hospodářství pracuje s veličinami, které se mění v prostoru i v čase. Měří se srážky, vodní stavy, průtoky, zásoby vody, tlak, teplota, spotřeba energie a ukazatele kvality vody. Výsledky slouží k provoznímu řízení, bilancování, hodnocení účinnosti zařízení i k dlouhodobému plánování.</w:t>
      </w:r>
    </w:p>
    <w:p w14:paraId="237A17E9" w14:textId="77777777" w:rsidR="00B33274" w:rsidRPr="00B33274" w:rsidRDefault="00B33274" w:rsidP="00DA3257">
      <w:pPr>
        <w:spacing w:line="240" w:lineRule="auto"/>
        <w:jc w:val="both"/>
      </w:pPr>
      <w:r w:rsidRPr="00B33274">
        <w:t>Důvěryhodný údaj musí mít známý původ. U průtoku je třeba vědět, kde a jak byl měřen, v jakém rozsahu přístroj pracoval a zda podmínky instalace odpovídaly použité metodě. U laboratorního výsledku je podstatné místo a čas odběru, způsob zacházení se vzorkem a použitý analytický postup. Bez těchto údajů může být samotné číslo pro rozhodnutí nedostatečné.</w:t>
      </w:r>
    </w:p>
    <w:p w14:paraId="1DF418F8" w14:textId="77777777" w:rsidR="00B33274" w:rsidRPr="00B33274" w:rsidRDefault="00B33274" w:rsidP="00DA3257">
      <w:pPr>
        <w:spacing w:line="240" w:lineRule="auto"/>
        <w:jc w:val="both"/>
      </w:pPr>
      <w:r w:rsidRPr="00B33274">
        <w:lastRenderedPageBreak/>
        <w:t>Zvláštní pozornost zasluhuje reprezentativnost měření. Rozbor jednoho vzorku popisuje především vlastnosti tohoto vzorku. Závěr o kvalitě zdroje, vodního toku nebo vypouštěné vody vyžaduje odpovídající způsob odběru a časové uspořádání sledování. Přesná analýza nemůže napravit vzorek odebraný v nevhodném místě nebo okamžiku.</w:t>
      </w:r>
    </w:p>
    <w:p w14:paraId="386E94F9" w14:textId="77777777" w:rsidR="00B33274" w:rsidRPr="00B33274" w:rsidRDefault="00B33274" w:rsidP="00DA3257">
      <w:pPr>
        <w:spacing w:line="240" w:lineRule="auto"/>
        <w:jc w:val="both"/>
      </w:pPr>
      <w:r w:rsidRPr="00B33274">
        <w:t>Podobně je tomu u vodohospodářských bilancí. Rozdíl mezi naměřeným přítokem a odtokem nemusí představovat pouze ztrátu vody. Může zahrnovat změnu zásoby, časový nesoulad odečtů, nezahrnutý odběr nebo nejistotu jednotlivých měření. Správná interpretace proto vyžaduje znalost celé soustavy.</w:t>
      </w:r>
    </w:p>
    <w:p w14:paraId="0555D4C0" w14:textId="77777777" w:rsidR="00B33274" w:rsidRPr="00B33274" w:rsidRDefault="00B33274" w:rsidP="00DA3257">
      <w:pPr>
        <w:spacing w:line="240" w:lineRule="auto"/>
        <w:jc w:val="both"/>
      </w:pPr>
      <w:r w:rsidRPr="00B33274">
        <w:t>Nejistota měření je součástí této interpretace. Pomáhá určit, zda je zjištěný rozdíl přesvědčivý a zda lze podle výsledku spolehlivě rozhodnout. Význam má zejména při porovnávání variant, hodnocení účinnosti a posuzování hodnot blízko stanovené meze.</w:t>
      </w:r>
    </w:p>
    <w:p w14:paraId="48CF7762" w14:textId="77777777" w:rsidR="00B33274" w:rsidRPr="00B33274" w:rsidRDefault="00B33274" w:rsidP="00DA3257">
      <w:pPr>
        <w:pStyle w:val="Nadpis2"/>
        <w:spacing w:before="0" w:line="240" w:lineRule="auto"/>
        <w:jc w:val="both"/>
      </w:pPr>
      <w:bookmarkStart w:id="9" w:name="_Toc243068618"/>
      <w:r w:rsidRPr="00B33274">
        <w:t>Ověřování vlastností od projektu po provoz</w:t>
      </w:r>
      <w:bookmarkEnd w:id="9"/>
    </w:p>
    <w:p w14:paraId="5A23B5D4" w14:textId="77777777" w:rsidR="00B33274" w:rsidRPr="00B33274" w:rsidRDefault="00B33274" w:rsidP="00DA3257">
      <w:pPr>
        <w:spacing w:line="240" w:lineRule="auto"/>
        <w:jc w:val="both"/>
      </w:pPr>
      <w:r w:rsidRPr="00B33274">
        <w:t>Zkoušení má ve vodním hospodářství různé úlohy. Při přípravě stavby poskytuje údaje o vlastnostech prostředí a materiálů. Ve výrobě ověřuje vlastnosti součástí. Během výstavby dokládá kvalitu provedených prací. Při uvádění do provozu se ověřuje funkce sestaveného zařízení a jeho vazba na ostatní části systému.</w:t>
      </w:r>
    </w:p>
    <w:p w14:paraId="27036DF1" w14:textId="77777777" w:rsidR="00B33274" w:rsidRPr="00B33274" w:rsidRDefault="00B33274" w:rsidP="00DA3257">
      <w:pPr>
        <w:spacing w:line="240" w:lineRule="auto"/>
        <w:jc w:val="both"/>
      </w:pPr>
      <w:r w:rsidRPr="00B33274">
        <w:t>Tyto úrovně se vzájemně doplňují. Doklad o vlastnostech potrubního dílu neprokazuje správnost celého smontovaného vedení. Výsledek zkoušky čerpadla u výrobce nemusí vystihovat jeho chování v konkrétní čerpací stanici. Laboratorně ověřené vlastnosti materiálu samy nepotvrzují správné provedení konstrukce na stavbě.</w:t>
      </w:r>
    </w:p>
    <w:p w14:paraId="499D8DEB" w14:textId="77777777" w:rsidR="00B33274" w:rsidRPr="00B33274" w:rsidRDefault="00B33274" w:rsidP="00DA3257">
      <w:pPr>
        <w:spacing w:line="240" w:lineRule="auto"/>
        <w:jc w:val="both"/>
      </w:pPr>
      <w:r w:rsidRPr="00B33274">
        <w:t>Kontrolní a zkušební plán proto musí sledovat postup vzniku díla. Některé vlastnosti lze ověřit jen před zakrytím, zásypem nebo uzavřením konstrukce. Kontrola má být provedena v okamžiku, kdy ještě umožňuje nápravu bez nepřiměřených zásahů.</w:t>
      </w:r>
    </w:p>
    <w:p w14:paraId="3C5A4245" w14:textId="77777777" w:rsidR="00B33274" w:rsidRPr="00B33274" w:rsidRDefault="00B33274" w:rsidP="00DA3257">
      <w:pPr>
        <w:spacing w:line="240" w:lineRule="auto"/>
        <w:jc w:val="both"/>
      </w:pPr>
      <w:r w:rsidRPr="00B33274">
        <w:t>Při přejímce je důležité porovnat skutečné provedení s projektem a sjednanými požadavky. Součástí hodnocení jsou výsledky zkoušek, dokumentace použitých výrobků, montážní záznamy a podmínky budoucího provozu. Požadované vlastnosti musí být spojeny s konkrétním výrobkem nebo částí díla, nikoli pouze s obecným typovým dokumentem.</w:t>
      </w:r>
    </w:p>
    <w:p w14:paraId="6DAD18FF" w14:textId="77777777" w:rsidR="00B33274" w:rsidRPr="00B33274" w:rsidRDefault="00B33274" w:rsidP="00DA3257">
      <w:pPr>
        <w:pStyle w:val="Nadpis2"/>
        <w:spacing w:before="0" w:line="240" w:lineRule="auto"/>
        <w:jc w:val="both"/>
      </w:pPr>
      <w:bookmarkStart w:id="10" w:name="_Toc243068619"/>
      <w:r w:rsidRPr="00B33274">
        <w:t>Zvláštní podmínky vodohospodářských zařízení</w:t>
      </w:r>
      <w:bookmarkEnd w:id="10"/>
    </w:p>
    <w:p w14:paraId="24A4D6DD" w14:textId="77777777" w:rsidR="00B33274" w:rsidRPr="00B33274" w:rsidRDefault="00B33274" w:rsidP="00DA3257">
      <w:pPr>
        <w:spacing w:line="240" w:lineRule="auto"/>
        <w:jc w:val="both"/>
      </w:pPr>
      <w:r w:rsidRPr="00B33274">
        <w:t>Vodohospodářská zařízení jsou často vystavena vlhkosti, proměnlivému zatížení, korozi, abrazi, usazeninám a biologickým procesům. Podmínky se mohou měnit se sezonou, hydrologickou situací nebo složením dopravované vody. Návrh a ověřování proto musí vycházet z předpokládaného rozsahu těchto změn.</w:t>
      </w:r>
    </w:p>
    <w:p w14:paraId="62D3A93C" w14:textId="77777777" w:rsidR="00B33274" w:rsidRPr="00B33274" w:rsidRDefault="00B33274" w:rsidP="00DA3257">
      <w:pPr>
        <w:spacing w:line="240" w:lineRule="auto"/>
        <w:jc w:val="both"/>
      </w:pPr>
      <w:r w:rsidRPr="00B33274">
        <w:t>U zařízení pro zásobování pitnou vodou se vedle mechanické funkce řeší také vhodnost materiálů pro styk s vodou a podmínky zachování její kvality. U kanalizací a čistíren odpadních vod jsou významné proměnlivé přítoky, složení vody a návaznost jednotlivých technologických stupňů. U vodních děl a ochranných zařízení rozhoduje rovněž schopnost plnit funkci při nepříznivých stavech.</w:t>
      </w:r>
    </w:p>
    <w:p w14:paraId="00F86BD1" w14:textId="212DC358" w:rsidR="000021FE" w:rsidRDefault="00B33274" w:rsidP="00DA3257">
      <w:pPr>
        <w:spacing w:line="240" w:lineRule="auto"/>
        <w:jc w:val="both"/>
      </w:pPr>
      <w:r w:rsidRPr="00B33274">
        <w:t>Provozní zkušenosti se musí vracet do kontroly a údržby. Opakované poruchy, posun měřených hodnot nebo změny kvality vody mohou ukázat, že původní předpoklady již neodpovídají skutečnosti. Výměna součásti nebo změna provozního režimu proto vyžaduje posouzení dopadu na celý systém a přiměřené ověření výsledné funkce.</w:t>
      </w:r>
    </w:p>
    <w:p w14:paraId="73ABC502" w14:textId="77777777" w:rsidR="000021FE" w:rsidRDefault="000021FE">
      <w:pPr>
        <w:spacing w:after="200" w:line="276" w:lineRule="auto"/>
      </w:pPr>
      <w:r>
        <w:br w:type="page"/>
      </w:r>
    </w:p>
    <w:p w14:paraId="554CEA3F" w14:textId="77777777" w:rsidR="00C701BE" w:rsidRPr="00B33274" w:rsidRDefault="00000000" w:rsidP="00DA3257">
      <w:pPr>
        <w:pStyle w:val="Nadpis1"/>
        <w:spacing w:before="0" w:line="240" w:lineRule="auto"/>
        <w:jc w:val="both"/>
      </w:pPr>
      <w:bookmarkStart w:id="11" w:name="_Toc243068410"/>
      <w:bookmarkStart w:id="12" w:name="_Toc243068620"/>
      <w:bookmarkStart w:id="13" w:name="_Toc243068767"/>
      <w:bookmarkStart w:id="14" w:name="_Toc243071034"/>
      <w:r w:rsidRPr="00B33274">
        <w:lastRenderedPageBreak/>
        <w:t>1 Jak spolu souvisejí požadavky normy a zkoušky</w:t>
      </w:r>
      <w:bookmarkEnd w:id="11"/>
      <w:bookmarkEnd w:id="12"/>
      <w:bookmarkEnd w:id="13"/>
      <w:bookmarkEnd w:id="14"/>
    </w:p>
    <w:p w14:paraId="02C34B02" w14:textId="77777777" w:rsidR="00C701BE" w:rsidRPr="00B33274" w:rsidRDefault="00000000" w:rsidP="00DA3257">
      <w:pPr>
        <w:pStyle w:val="Nadpis2"/>
        <w:spacing w:before="0" w:line="240" w:lineRule="auto"/>
        <w:jc w:val="both"/>
      </w:pPr>
      <w:bookmarkStart w:id="15" w:name="_Toc243068621"/>
      <w:r w:rsidRPr="00B33274">
        <w:t>1.1 Od potřeby k důkazu</w:t>
      </w:r>
      <w:bookmarkEnd w:id="15"/>
    </w:p>
    <w:p w14:paraId="19213BAF" w14:textId="77777777" w:rsidR="00C701BE" w:rsidRPr="00B33274" w:rsidRDefault="00000000" w:rsidP="00DA3257">
      <w:pPr>
        <w:spacing w:line="240" w:lineRule="auto"/>
        <w:jc w:val="both"/>
      </w:pPr>
      <w:r w:rsidRPr="00B33274">
        <w:t>Technická práce začíná určením účelu. U potrubního dílu nestačí uvést, že má být kvalitní. Je nutné znát médium, tlak, teplotu, rozměrové připojení, životnost a prostředí. Z těchto podmínek se odvodí vlastnosti, které musí výrobek mít, a způsob, jak jejich splnění prokázat. Požadavek na těsnost například musí určit podmínky zkoušky a přijatelné chování spoje.</w:t>
      </w:r>
    </w:p>
    <w:p w14:paraId="2AFB65A5" w14:textId="77777777" w:rsidR="00C701BE" w:rsidRPr="00B33274" w:rsidRDefault="00000000" w:rsidP="00DA3257">
      <w:pPr>
        <w:spacing w:line="240" w:lineRule="auto"/>
        <w:jc w:val="both"/>
      </w:pPr>
      <w:r w:rsidRPr="00B33274">
        <w:t>Normalizace poskytuje společná pravidla a pojmy. Metrologie zajišťuje důvěryhodnost měření. Zkušebnictví vytváří důkazy o vlastnostech. Posuzování shody porovnává důkazy s požadavky. Každá z těchto oblastí má vlastní úlohu; dohromady umožňují, aby se odběratel, výrobce a laboratoř shodli na významu výsledku. [1]</w:t>
      </w:r>
    </w:p>
    <w:p w14:paraId="097736D9" w14:textId="77777777" w:rsidR="00C701BE" w:rsidRPr="00B33274" w:rsidRDefault="00000000" w:rsidP="00DA3257">
      <w:pPr>
        <w:spacing w:line="240" w:lineRule="auto"/>
        <w:jc w:val="both"/>
      </w:pPr>
      <w:r w:rsidRPr="00B33274">
        <w:t>Pro každý důležitý požadavek doporučujeme evidovat jeho zdroj, přesné znění, metodu ověření, kritérium přijetí a odpovědnou osobu. Tak vznikne přehled, v němž je vidět, které vlastnosti jsou doloženy a které ještě čekají na ověření. Požadavek bez způsobu kontroly se obtížně prosazuje; výsledek bez známého požadavku nelze spolehlivě vyhodnotit.</w:t>
      </w:r>
    </w:p>
    <w:p w14:paraId="3D7FD662" w14:textId="77777777" w:rsidR="00C701BE" w:rsidRPr="00B33274" w:rsidRDefault="00000000" w:rsidP="00DA3257">
      <w:pPr>
        <w:pStyle w:val="Nadpis2"/>
        <w:spacing w:before="0" w:line="240" w:lineRule="auto"/>
        <w:jc w:val="both"/>
      </w:pPr>
      <w:bookmarkStart w:id="16" w:name="_Toc243068622"/>
      <w:r w:rsidRPr="00B33274">
        <w:t>1.2 Základní pojmy</w:t>
      </w:r>
      <w:bookmarkEnd w:id="16"/>
    </w:p>
    <w:tbl>
      <w:tblPr>
        <w:tblStyle w:val="Mkatabulky"/>
        <w:tblW w:w="9297" w:type="dxa"/>
        <w:tblLayout w:type="fixed"/>
        <w:tblLook w:val="04A0" w:firstRow="1" w:lastRow="0" w:firstColumn="1" w:lastColumn="0" w:noHBand="0" w:noVBand="1"/>
      </w:tblPr>
      <w:tblGrid>
        <w:gridCol w:w="2122"/>
        <w:gridCol w:w="4076"/>
        <w:gridCol w:w="3099"/>
      </w:tblGrid>
      <w:tr w:rsidR="00C701BE" w:rsidRPr="001439C4" w14:paraId="24F2A54E" w14:textId="77777777" w:rsidTr="001439C4">
        <w:trPr>
          <w:cantSplit/>
          <w:tblHeader/>
        </w:trPr>
        <w:tc>
          <w:tcPr>
            <w:tcW w:w="2122" w:type="dxa"/>
          </w:tcPr>
          <w:p w14:paraId="6C50463D" w14:textId="77777777" w:rsidR="00C701BE" w:rsidRPr="001439C4" w:rsidRDefault="00000000" w:rsidP="001439C4">
            <w:pPr>
              <w:spacing w:line="240" w:lineRule="auto"/>
            </w:pPr>
            <w:r w:rsidRPr="001439C4">
              <w:rPr>
                <w:b/>
              </w:rPr>
              <w:t>Pojem</w:t>
            </w:r>
          </w:p>
        </w:tc>
        <w:tc>
          <w:tcPr>
            <w:tcW w:w="4076" w:type="dxa"/>
          </w:tcPr>
          <w:p w14:paraId="5EA38DCA" w14:textId="77777777" w:rsidR="00C701BE" w:rsidRPr="001439C4" w:rsidRDefault="00000000" w:rsidP="001439C4">
            <w:pPr>
              <w:spacing w:line="240" w:lineRule="auto"/>
            </w:pPr>
            <w:r w:rsidRPr="001439C4">
              <w:rPr>
                <w:b/>
              </w:rPr>
              <w:t>Co znamená pro technika</w:t>
            </w:r>
          </w:p>
        </w:tc>
        <w:tc>
          <w:tcPr>
            <w:tcW w:w="3099" w:type="dxa"/>
          </w:tcPr>
          <w:p w14:paraId="4383737F" w14:textId="77777777" w:rsidR="00C701BE" w:rsidRPr="001439C4" w:rsidRDefault="00000000" w:rsidP="001439C4">
            <w:pPr>
              <w:spacing w:line="240" w:lineRule="auto"/>
            </w:pPr>
            <w:r w:rsidRPr="001439C4">
              <w:rPr>
                <w:b/>
              </w:rPr>
              <w:t>Typický výstup</w:t>
            </w:r>
          </w:p>
        </w:tc>
      </w:tr>
      <w:tr w:rsidR="00C701BE" w:rsidRPr="001439C4" w14:paraId="33E39FB8" w14:textId="77777777" w:rsidTr="001439C4">
        <w:trPr>
          <w:cantSplit/>
        </w:trPr>
        <w:tc>
          <w:tcPr>
            <w:tcW w:w="2122" w:type="dxa"/>
          </w:tcPr>
          <w:p w14:paraId="0BBC76D5" w14:textId="77777777" w:rsidR="00C701BE" w:rsidRPr="001439C4" w:rsidRDefault="00000000" w:rsidP="001439C4">
            <w:pPr>
              <w:spacing w:line="240" w:lineRule="auto"/>
            </w:pPr>
            <w:r w:rsidRPr="001439C4">
              <w:t>Technický předpis</w:t>
            </w:r>
          </w:p>
        </w:tc>
        <w:tc>
          <w:tcPr>
            <w:tcW w:w="4076" w:type="dxa"/>
          </w:tcPr>
          <w:p w14:paraId="58278685" w14:textId="77777777" w:rsidR="00C701BE" w:rsidRPr="001439C4" w:rsidRDefault="00000000" w:rsidP="001439C4">
            <w:pPr>
              <w:spacing w:line="240" w:lineRule="auto"/>
            </w:pPr>
            <w:r w:rsidRPr="001439C4">
              <w:t>Právní požadavky v příslušném rozsahu</w:t>
            </w:r>
          </w:p>
        </w:tc>
        <w:tc>
          <w:tcPr>
            <w:tcW w:w="3099" w:type="dxa"/>
          </w:tcPr>
          <w:p w14:paraId="7F607E8B" w14:textId="77777777" w:rsidR="00C701BE" w:rsidRPr="001439C4" w:rsidRDefault="00000000" w:rsidP="001439C4">
            <w:pPr>
              <w:spacing w:line="240" w:lineRule="auto"/>
            </w:pPr>
            <w:r w:rsidRPr="001439C4">
              <w:t>Určení povinností pro výrobek</w:t>
            </w:r>
          </w:p>
        </w:tc>
      </w:tr>
      <w:tr w:rsidR="00C701BE" w:rsidRPr="001439C4" w14:paraId="4AF49DF6" w14:textId="77777777" w:rsidTr="001439C4">
        <w:trPr>
          <w:cantSplit/>
        </w:trPr>
        <w:tc>
          <w:tcPr>
            <w:tcW w:w="2122" w:type="dxa"/>
          </w:tcPr>
          <w:p w14:paraId="3E732E2F" w14:textId="77777777" w:rsidR="00C701BE" w:rsidRPr="001439C4" w:rsidRDefault="00000000" w:rsidP="001439C4">
            <w:pPr>
              <w:spacing w:line="240" w:lineRule="auto"/>
            </w:pPr>
            <w:r w:rsidRPr="001439C4">
              <w:t>Technická norma</w:t>
            </w:r>
          </w:p>
        </w:tc>
        <w:tc>
          <w:tcPr>
            <w:tcW w:w="4076" w:type="dxa"/>
          </w:tcPr>
          <w:p w14:paraId="63BFA0D5" w14:textId="77777777" w:rsidR="00C701BE" w:rsidRPr="001439C4" w:rsidRDefault="00000000" w:rsidP="001439C4">
            <w:pPr>
              <w:spacing w:line="240" w:lineRule="auto"/>
            </w:pPr>
            <w:r w:rsidRPr="001439C4">
              <w:t>Společná pravidla nebo technické specifikace</w:t>
            </w:r>
          </w:p>
        </w:tc>
        <w:tc>
          <w:tcPr>
            <w:tcW w:w="3099" w:type="dxa"/>
          </w:tcPr>
          <w:p w14:paraId="4989EA76" w14:textId="77777777" w:rsidR="00C701BE" w:rsidRPr="001439C4" w:rsidRDefault="00000000" w:rsidP="001439C4">
            <w:pPr>
              <w:spacing w:line="240" w:lineRule="auto"/>
            </w:pPr>
            <w:r w:rsidRPr="001439C4">
              <w:t>Podklad návrhu nebo zkoušky</w:t>
            </w:r>
          </w:p>
        </w:tc>
      </w:tr>
      <w:tr w:rsidR="00C701BE" w:rsidRPr="001439C4" w14:paraId="06609561" w14:textId="77777777" w:rsidTr="001439C4">
        <w:trPr>
          <w:cantSplit/>
        </w:trPr>
        <w:tc>
          <w:tcPr>
            <w:tcW w:w="2122" w:type="dxa"/>
          </w:tcPr>
          <w:p w14:paraId="255CD231" w14:textId="77777777" w:rsidR="00C701BE" w:rsidRPr="001439C4" w:rsidRDefault="00000000" w:rsidP="001439C4">
            <w:pPr>
              <w:spacing w:line="240" w:lineRule="auto"/>
            </w:pPr>
            <w:r w:rsidRPr="001439C4">
              <w:t>Zkouška</w:t>
            </w:r>
          </w:p>
        </w:tc>
        <w:tc>
          <w:tcPr>
            <w:tcW w:w="4076" w:type="dxa"/>
          </w:tcPr>
          <w:p w14:paraId="74F863E2" w14:textId="77777777" w:rsidR="00C701BE" w:rsidRPr="001439C4" w:rsidRDefault="00000000" w:rsidP="001439C4">
            <w:pPr>
              <w:spacing w:line="240" w:lineRule="auto"/>
            </w:pPr>
            <w:r w:rsidRPr="001439C4">
              <w:t>Zjištění vlastnosti předepsaným postupem</w:t>
            </w:r>
          </w:p>
        </w:tc>
        <w:tc>
          <w:tcPr>
            <w:tcW w:w="3099" w:type="dxa"/>
          </w:tcPr>
          <w:p w14:paraId="781CDD3E" w14:textId="77777777" w:rsidR="00C701BE" w:rsidRPr="001439C4" w:rsidRDefault="00000000" w:rsidP="001439C4">
            <w:pPr>
              <w:spacing w:line="240" w:lineRule="auto"/>
            </w:pPr>
            <w:r w:rsidRPr="001439C4">
              <w:t>Zkušební protokol</w:t>
            </w:r>
          </w:p>
        </w:tc>
      </w:tr>
      <w:tr w:rsidR="00C701BE" w:rsidRPr="001439C4" w14:paraId="09FB91F3" w14:textId="77777777" w:rsidTr="001439C4">
        <w:trPr>
          <w:cantSplit/>
        </w:trPr>
        <w:tc>
          <w:tcPr>
            <w:tcW w:w="2122" w:type="dxa"/>
          </w:tcPr>
          <w:p w14:paraId="424F5579" w14:textId="77777777" w:rsidR="00C701BE" w:rsidRPr="001439C4" w:rsidRDefault="00000000" w:rsidP="001439C4">
            <w:pPr>
              <w:spacing w:line="240" w:lineRule="auto"/>
            </w:pPr>
            <w:r w:rsidRPr="001439C4">
              <w:t>Kalibrace</w:t>
            </w:r>
          </w:p>
        </w:tc>
        <w:tc>
          <w:tcPr>
            <w:tcW w:w="4076" w:type="dxa"/>
          </w:tcPr>
          <w:p w14:paraId="788ED560" w14:textId="77777777" w:rsidR="00C701BE" w:rsidRPr="001439C4" w:rsidRDefault="00000000" w:rsidP="001439C4">
            <w:pPr>
              <w:spacing w:line="240" w:lineRule="auto"/>
            </w:pPr>
            <w:r w:rsidRPr="001439C4">
              <w:t>Stanovení vztahu mezi indikací a referenční hodnotou včetně nejistot</w:t>
            </w:r>
          </w:p>
        </w:tc>
        <w:tc>
          <w:tcPr>
            <w:tcW w:w="3099" w:type="dxa"/>
          </w:tcPr>
          <w:p w14:paraId="1A9CBC96" w14:textId="77777777" w:rsidR="00C701BE" w:rsidRPr="001439C4" w:rsidRDefault="00000000" w:rsidP="001439C4">
            <w:pPr>
              <w:spacing w:line="240" w:lineRule="auto"/>
            </w:pPr>
            <w:r w:rsidRPr="001439C4">
              <w:t>Kalibrační list</w:t>
            </w:r>
          </w:p>
        </w:tc>
      </w:tr>
      <w:tr w:rsidR="00C701BE" w:rsidRPr="001439C4" w14:paraId="38C2E03F" w14:textId="77777777" w:rsidTr="001439C4">
        <w:trPr>
          <w:cantSplit/>
        </w:trPr>
        <w:tc>
          <w:tcPr>
            <w:tcW w:w="2122" w:type="dxa"/>
          </w:tcPr>
          <w:p w14:paraId="131AC762" w14:textId="77777777" w:rsidR="00C701BE" w:rsidRPr="001439C4" w:rsidRDefault="00000000" w:rsidP="001439C4">
            <w:pPr>
              <w:spacing w:line="240" w:lineRule="auto"/>
            </w:pPr>
            <w:r w:rsidRPr="001439C4">
              <w:t>Ověření měřidla</w:t>
            </w:r>
          </w:p>
        </w:tc>
        <w:tc>
          <w:tcPr>
            <w:tcW w:w="4076" w:type="dxa"/>
          </w:tcPr>
          <w:p w14:paraId="055FC59C" w14:textId="77777777" w:rsidR="00C701BE" w:rsidRPr="001439C4" w:rsidRDefault="00000000" w:rsidP="001439C4">
            <w:pPr>
              <w:spacing w:line="240" w:lineRule="auto"/>
            </w:pPr>
            <w:r w:rsidRPr="001439C4">
              <w:t>Potvrzení splnění stanovených metrologických požadavků</w:t>
            </w:r>
          </w:p>
        </w:tc>
        <w:tc>
          <w:tcPr>
            <w:tcW w:w="3099" w:type="dxa"/>
          </w:tcPr>
          <w:p w14:paraId="462C9E54" w14:textId="77777777" w:rsidR="00C701BE" w:rsidRPr="001439C4" w:rsidRDefault="00000000" w:rsidP="001439C4">
            <w:pPr>
              <w:spacing w:line="240" w:lineRule="auto"/>
            </w:pPr>
            <w:r w:rsidRPr="001439C4">
              <w:t>Ověřovací list nebo úřední značka</w:t>
            </w:r>
          </w:p>
        </w:tc>
      </w:tr>
      <w:tr w:rsidR="00C701BE" w:rsidRPr="001439C4" w14:paraId="4772F8B3" w14:textId="77777777" w:rsidTr="001439C4">
        <w:trPr>
          <w:cantSplit/>
        </w:trPr>
        <w:tc>
          <w:tcPr>
            <w:tcW w:w="2122" w:type="dxa"/>
          </w:tcPr>
          <w:p w14:paraId="2721A1A9" w14:textId="77777777" w:rsidR="00C701BE" w:rsidRPr="001439C4" w:rsidRDefault="00000000" w:rsidP="001439C4">
            <w:pPr>
              <w:spacing w:line="240" w:lineRule="auto"/>
            </w:pPr>
            <w:r w:rsidRPr="001439C4">
              <w:t>Certifikace</w:t>
            </w:r>
          </w:p>
        </w:tc>
        <w:tc>
          <w:tcPr>
            <w:tcW w:w="4076" w:type="dxa"/>
          </w:tcPr>
          <w:p w14:paraId="5043A2E4" w14:textId="77777777" w:rsidR="00C701BE" w:rsidRPr="001439C4" w:rsidRDefault="00000000" w:rsidP="001439C4">
            <w:pPr>
              <w:spacing w:line="240" w:lineRule="auto"/>
            </w:pPr>
            <w:r w:rsidRPr="001439C4">
              <w:t>Potvrzení třetí stranou podle daného schématu</w:t>
            </w:r>
          </w:p>
        </w:tc>
        <w:tc>
          <w:tcPr>
            <w:tcW w:w="3099" w:type="dxa"/>
          </w:tcPr>
          <w:p w14:paraId="4DCCDE24" w14:textId="77777777" w:rsidR="00C701BE" w:rsidRPr="001439C4" w:rsidRDefault="00000000" w:rsidP="001439C4">
            <w:pPr>
              <w:spacing w:line="240" w:lineRule="auto"/>
            </w:pPr>
            <w:r w:rsidRPr="001439C4">
              <w:t>Certifikát s vymezeným rozsahem</w:t>
            </w:r>
          </w:p>
        </w:tc>
      </w:tr>
      <w:tr w:rsidR="00C701BE" w:rsidRPr="001439C4" w14:paraId="1FF9D8F8" w14:textId="77777777" w:rsidTr="001439C4">
        <w:trPr>
          <w:cantSplit/>
        </w:trPr>
        <w:tc>
          <w:tcPr>
            <w:tcW w:w="2122" w:type="dxa"/>
          </w:tcPr>
          <w:p w14:paraId="20BBBAE7" w14:textId="77777777" w:rsidR="00C701BE" w:rsidRPr="001439C4" w:rsidRDefault="00000000" w:rsidP="001439C4">
            <w:pPr>
              <w:spacing w:line="240" w:lineRule="auto"/>
            </w:pPr>
            <w:r w:rsidRPr="001439C4">
              <w:t>Akreditace</w:t>
            </w:r>
          </w:p>
        </w:tc>
        <w:tc>
          <w:tcPr>
            <w:tcW w:w="4076" w:type="dxa"/>
          </w:tcPr>
          <w:p w14:paraId="5CFDFB85" w14:textId="77777777" w:rsidR="00C701BE" w:rsidRPr="001439C4" w:rsidRDefault="00000000" w:rsidP="001439C4">
            <w:pPr>
              <w:spacing w:line="240" w:lineRule="auto"/>
            </w:pPr>
            <w:r w:rsidRPr="001439C4">
              <w:t>Potvrzení způsobilosti subjektu ke konkrétním činnostem</w:t>
            </w:r>
          </w:p>
        </w:tc>
        <w:tc>
          <w:tcPr>
            <w:tcW w:w="3099" w:type="dxa"/>
          </w:tcPr>
          <w:p w14:paraId="16A701B9" w14:textId="77777777" w:rsidR="00C701BE" w:rsidRPr="001439C4" w:rsidRDefault="00000000" w:rsidP="001439C4">
            <w:pPr>
              <w:spacing w:line="240" w:lineRule="auto"/>
            </w:pPr>
            <w:r w:rsidRPr="001439C4">
              <w:t>Osvědčení a příloha s rozsahem</w:t>
            </w:r>
          </w:p>
        </w:tc>
      </w:tr>
    </w:tbl>
    <w:p w14:paraId="4F0575DD" w14:textId="77777777" w:rsidR="00C701BE" w:rsidRPr="00B33274" w:rsidRDefault="00C701BE" w:rsidP="001439C4">
      <w:pPr>
        <w:spacing w:line="240" w:lineRule="auto"/>
      </w:pPr>
    </w:p>
    <w:p w14:paraId="1F877BF9" w14:textId="77777777" w:rsidR="00C701BE" w:rsidRPr="00B33274" w:rsidRDefault="00000000" w:rsidP="00DA3257">
      <w:pPr>
        <w:spacing w:line="240" w:lineRule="auto"/>
        <w:jc w:val="both"/>
      </w:pPr>
      <w:r w:rsidRPr="00B33274">
        <w:t>Rozdíl mezi dokumenty je podstatný. Protokol popisuje zkoušku a její výsledek. Certifikát má význam vymezený certifikačním schématem. Prohlášení o shodě je odpovědným prohlášením výrobce tam, kde je požaduje příslušný předpis. Jeden dokument nelze automaticky zaměnit za druhý. [3, 4, 5, 7]</w:t>
      </w:r>
    </w:p>
    <w:p w14:paraId="2BABCD62" w14:textId="77777777" w:rsidR="00C701BE" w:rsidRPr="00B33274" w:rsidRDefault="00000000" w:rsidP="00DA3257">
      <w:pPr>
        <w:pStyle w:val="Nadpis1"/>
        <w:spacing w:before="0" w:line="240" w:lineRule="auto"/>
        <w:jc w:val="both"/>
      </w:pPr>
      <w:bookmarkStart w:id="17" w:name="_Toc243068411"/>
      <w:bookmarkStart w:id="18" w:name="_Toc243068623"/>
      <w:bookmarkStart w:id="19" w:name="_Toc243068768"/>
      <w:bookmarkStart w:id="20" w:name="_Toc243071035"/>
      <w:r w:rsidRPr="00B33274">
        <w:t>2 Technická normalizace v každodenní práci</w:t>
      </w:r>
      <w:bookmarkEnd w:id="17"/>
      <w:bookmarkEnd w:id="18"/>
      <w:bookmarkEnd w:id="19"/>
      <w:bookmarkEnd w:id="20"/>
    </w:p>
    <w:p w14:paraId="78F2FED7" w14:textId="77777777" w:rsidR="00C701BE" w:rsidRPr="00B33274" w:rsidRDefault="00000000" w:rsidP="00DA3257">
      <w:pPr>
        <w:pStyle w:val="Nadpis2"/>
        <w:spacing w:before="0" w:line="240" w:lineRule="auto"/>
        <w:jc w:val="both"/>
      </w:pPr>
      <w:bookmarkStart w:id="21" w:name="_Toc243068624"/>
      <w:r w:rsidRPr="00B33274">
        <w:t>2.1 Proč se normalizuje</w:t>
      </w:r>
      <w:bookmarkEnd w:id="21"/>
    </w:p>
    <w:p w14:paraId="1D2780EF" w14:textId="77777777" w:rsidR="00C701BE" w:rsidRPr="00B33274" w:rsidRDefault="00000000" w:rsidP="00DA3257">
      <w:pPr>
        <w:spacing w:line="240" w:lineRule="auto"/>
        <w:jc w:val="both"/>
      </w:pPr>
      <w:r w:rsidRPr="00B33274">
        <w:t>Opakovaná výroba a údržba vyžadují shodné rozměry, označení, vlastnosti i pracovní postupy. Bez sjednocení může být každá součást samostatným konstrukčním případem. Normalizace usnadňuje zaměnitelnost, snižuje počet skladovaných variant a umožňuje porovnávat nabídky různých výrobců. Její přínos se projeví zejména v celém životním cyklu zařízení, nejen v pořizovací ceně. [1]</w:t>
      </w:r>
    </w:p>
    <w:p w14:paraId="0F8A09FF" w14:textId="77777777" w:rsidR="00C701BE" w:rsidRPr="00B33274" w:rsidRDefault="00000000" w:rsidP="00DA3257">
      <w:pPr>
        <w:spacing w:line="240" w:lineRule="auto"/>
        <w:jc w:val="both"/>
      </w:pPr>
      <w:r w:rsidRPr="00B33274">
        <w:t>Unifikace sjednocuje řešení, například připojení armatur. Typizace vybírá účelnou řadu velikostí nebo výkonů. Specifikace přesně popisuje vlastnosti a podmínky jejich ověření. Při rozhodování však musí zůstat zachována vhodnost pro účel. Snížení počtu druhů těsnění je hospodárné pouze tehdy, když zbývající materiály vyhoví všem skutečným médiím a teplotám.</w:t>
      </w:r>
    </w:p>
    <w:p w14:paraId="3DAE45D1" w14:textId="77777777" w:rsidR="00C701BE" w:rsidRPr="00B33274" w:rsidRDefault="00000000" w:rsidP="00DA3257">
      <w:pPr>
        <w:spacing w:line="240" w:lineRule="auto"/>
        <w:jc w:val="both"/>
      </w:pPr>
      <w:r w:rsidRPr="00B33274">
        <w:t>V podniku je vhodné standardizovat také označování zařízení, výkresovou dokumentaci, formát zkušebních záznamů a způsob evidence změn. Norma se tím převádí do opakovatelné práce. Zaměstnanec musí poznat, která verze postupu platí a kde získá její řízenou kopii.</w:t>
      </w:r>
    </w:p>
    <w:p w14:paraId="61B93605" w14:textId="77777777" w:rsidR="00C701BE" w:rsidRPr="00B33274" w:rsidRDefault="00000000" w:rsidP="00DA3257">
      <w:pPr>
        <w:pStyle w:val="Nadpis2"/>
        <w:spacing w:before="0" w:line="240" w:lineRule="auto"/>
        <w:jc w:val="both"/>
      </w:pPr>
      <w:bookmarkStart w:id="22" w:name="_Toc243068625"/>
      <w:r w:rsidRPr="00B33274">
        <w:lastRenderedPageBreak/>
        <w:t>2.2 Kdo normy připravuje</w:t>
      </w:r>
      <w:bookmarkEnd w:id="22"/>
    </w:p>
    <w:p w14:paraId="195A4884" w14:textId="77777777" w:rsidR="00C701BE" w:rsidRPr="00B33274" w:rsidRDefault="00000000" w:rsidP="00DA3257">
      <w:pPr>
        <w:spacing w:line="240" w:lineRule="auto"/>
        <w:jc w:val="both"/>
      </w:pPr>
      <w:r w:rsidRPr="00B33274">
        <w:t>Mezinárodní normalizaci zajišťují zejména ISO a IEC, v telekomunikacích také ITU. V evropském prostředí působí CEN, CENELEC a ETSI. Českou soustavu tvoří ČSN včetně převzatých evropských a mezinárodních dokumentů. ÚNMZ zastává úlohy národní normalizační organizace; činnosti tvorby, vydávání a distribuce ČSN zajišťuje Česká agentura pro standardizaci. Odbornou práci podporují technické normalizační komise a centra technické normalizace. [1, 2]</w:t>
      </w:r>
    </w:p>
    <w:p w14:paraId="379CBC9B" w14:textId="77777777" w:rsidR="00C701BE" w:rsidRPr="00B33274" w:rsidRDefault="00000000" w:rsidP="00DA3257">
      <w:pPr>
        <w:spacing w:line="240" w:lineRule="auto"/>
        <w:jc w:val="both"/>
      </w:pPr>
      <w:r w:rsidRPr="00B33274">
        <w:t>Podnik nemusí zůstat pouze uživatelem hotových norem. Pokud se opakovaně setkává s nejednoznačným ustanovením nebo chybějící metodou, může prostřednictvím příslušné komise přispět k připomínkování a tvorbě dokumentu. Pro technika je užitečné sledovat vývoj norem u výrobků s dlouhou dobou vývoje nebo vysokými náklady na opakované zkoušky. [2]</w:t>
      </w:r>
    </w:p>
    <w:p w14:paraId="12FC592F" w14:textId="77777777" w:rsidR="00C701BE" w:rsidRPr="00B33274" w:rsidRDefault="00000000" w:rsidP="00DA3257">
      <w:pPr>
        <w:pStyle w:val="Nadpis1"/>
        <w:spacing w:before="0" w:line="240" w:lineRule="auto"/>
        <w:jc w:val="both"/>
      </w:pPr>
      <w:bookmarkStart w:id="23" w:name="_Toc243068412"/>
      <w:bookmarkStart w:id="24" w:name="_Toc243068626"/>
      <w:bookmarkStart w:id="25" w:name="_Toc243068769"/>
      <w:bookmarkStart w:id="26" w:name="_Toc243071036"/>
      <w:r w:rsidRPr="00B33274">
        <w:t>3 Jak vyhledat a správně použít normu</w:t>
      </w:r>
      <w:bookmarkEnd w:id="23"/>
      <w:bookmarkEnd w:id="24"/>
      <w:bookmarkEnd w:id="25"/>
      <w:bookmarkEnd w:id="26"/>
    </w:p>
    <w:p w14:paraId="75F60F80" w14:textId="77777777" w:rsidR="00C701BE" w:rsidRPr="00B33274" w:rsidRDefault="00000000" w:rsidP="00DA3257">
      <w:pPr>
        <w:pStyle w:val="Nadpis2"/>
        <w:spacing w:before="0" w:line="240" w:lineRule="auto"/>
        <w:jc w:val="both"/>
      </w:pPr>
      <w:bookmarkStart w:id="27" w:name="_Toc243068627"/>
      <w:r w:rsidRPr="00B33274">
        <w:t>3.1 Označení a vydání</w:t>
      </w:r>
      <w:bookmarkEnd w:id="27"/>
    </w:p>
    <w:p w14:paraId="7BBDA0E0" w14:textId="77777777" w:rsidR="00C701BE" w:rsidRPr="00B33274" w:rsidRDefault="00000000" w:rsidP="00DA3257">
      <w:pPr>
        <w:spacing w:line="240" w:lineRule="auto"/>
        <w:jc w:val="both"/>
      </w:pPr>
      <w:r w:rsidRPr="00B33274">
        <w:t>Označení ČSN EN vyjadřuje převzetí evropské normy, ČSN ISO převzetí mezinárodní normy ISO a ČSN EN ISO společnou návaznost na evropskou a mezinárodní úroveň. Obdobně se používá IEC. Číslo převzaté normy není totožné s českým třídicím znakem. Třídicí znak slouží k oborovému zařazení. [1, 2]</w:t>
      </w:r>
    </w:p>
    <w:p w14:paraId="34D1A97C" w14:textId="77777777" w:rsidR="00C701BE" w:rsidRPr="00B33274" w:rsidRDefault="00000000" w:rsidP="00DA3257">
      <w:pPr>
        <w:spacing w:line="240" w:lineRule="auto"/>
        <w:jc w:val="both"/>
      </w:pPr>
      <w:r w:rsidRPr="00B33274">
        <w:t>Při zápisu normy do zakázky je vhodné uvést úplné označení, část a vydání, případně relevantní změny a opravy. U souboru norem může jedna část určovat obecné požadavky a jiná konkrétní metodu. Záměna části nebo roku vydání může změnit podmínky přijetí výrobku.</w:t>
      </w:r>
    </w:p>
    <w:p w14:paraId="6A5FDA7A" w14:textId="77777777" w:rsidR="00C701BE" w:rsidRPr="00B33274" w:rsidRDefault="00000000" w:rsidP="00DA3257">
      <w:pPr>
        <w:pStyle w:val="Nadpis2"/>
        <w:spacing w:before="0" w:line="240" w:lineRule="auto"/>
        <w:jc w:val="both"/>
      </w:pPr>
      <w:bookmarkStart w:id="28" w:name="_Toc243068628"/>
      <w:r w:rsidRPr="00B33274">
        <w:t>3.2 Doporučený postup hledání</w:t>
      </w:r>
      <w:bookmarkEnd w:id="28"/>
    </w:p>
    <w:p w14:paraId="7A4D71C1" w14:textId="77777777" w:rsidR="00C701BE" w:rsidRPr="00B33274" w:rsidRDefault="00000000" w:rsidP="00DA3257">
      <w:pPr>
        <w:pStyle w:val="Seznamsodrkami"/>
        <w:spacing w:line="240" w:lineRule="auto"/>
        <w:ind w:left="283" w:hanging="142"/>
        <w:jc w:val="both"/>
      </w:pPr>
      <w:r w:rsidRPr="00B33274">
        <w:t>Nejprve popište výrobek nebo činnost a zamýšlené použití; vyhledávejte podle názvu, synonym i známého čísla.</w:t>
      </w:r>
    </w:p>
    <w:p w14:paraId="0811E77D" w14:textId="77777777" w:rsidR="00C701BE" w:rsidRPr="00B33274" w:rsidRDefault="00000000" w:rsidP="00DA3257">
      <w:pPr>
        <w:pStyle w:val="Seznamsodrkami"/>
        <w:spacing w:line="240" w:lineRule="auto"/>
        <w:ind w:left="283" w:hanging="142"/>
        <w:jc w:val="both"/>
      </w:pPr>
      <w:r w:rsidRPr="00B33274">
        <w:t>V katalogu ČSN zkontrolujte přesný předmět normy, vydání, platnost, změny, opravy a případné nahrazení.</w:t>
      </w:r>
    </w:p>
    <w:p w14:paraId="31EA48F4" w14:textId="77777777" w:rsidR="00C701BE" w:rsidRPr="00B33274" w:rsidRDefault="00000000" w:rsidP="00DA3257">
      <w:pPr>
        <w:pStyle w:val="Seznamsodrkami"/>
        <w:spacing w:line="240" w:lineRule="auto"/>
        <w:ind w:left="283" w:hanging="142"/>
        <w:jc w:val="both"/>
      </w:pPr>
      <w:r w:rsidRPr="00B33274">
        <w:t>Získejte oprávněný přístup k úplnému textu. Katalogový záznam nestačí k provedení zkoušky.</w:t>
      </w:r>
    </w:p>
    <w:p w14:paraId="03FD885E" w14:textId="77777777" w:rsidR="00C701BE" w:rsidRPr="00B33274" w:rsidRDefault="00000000" w:rsidP="00DA3257">
      <w:pPr>
        <w:pStyle w:val="Seznamsodrkami"/>
        <w:spacing w:line="240" w:lineRule="auto"/>
        <w:ind w:left="283" w:hanging="142"/>
        <w:jc w:val="both"/>
      </w:pPr>
      <w:r w:rsidRPr="00B33274">
        <w:t>Přečtěte předmět normy, definice, normativní odkazy, požadavky a přílohy. Rozlište normativní a informativní části.</w:t>
      </w:r>
    </w:p>
    <w:p w14:paraId="30653BD1" w14:textId="77777777" w:rsidR="00C701BE" w:rsidRPr="00B33274" w:rsidRDefault="00000000" w:rsidP="00DA3257">
      <w:pPr>
        <w:pStyle w:val="Seznamsodrkami"/>
        <w:spacing w:line="240" w:lineRule="auto"/>
        <w:ind w:left="283" w:hanging="142"/>
        <w:jc w:val="both"/>
      </w:pPr>
      <w:r w:rsidRPr="00B33274">
        <w:t>Ověřte vazbu na právní předpis, smlouvu nebo projekt. U harmonizace prověřte konkrétní evropskou citaci a její omezení.</w:t>
      </w:r>
    </w:p>
    <w:p w14:paraId="36B48736" w14:textId="77777777" w:rsidR="00C701BE" w:rsidRPr="00B33274" w:rsidRDefault="00000000" w:rsidP="00DA3257">
      <w:pPr>
        <w:pStyle w:val="Seznamsodrkami"/>
        <w:spacing w:line="240" w:lineRule="auto"/>
        <w:ind w:left="283" w:hanging="142"/>
        <w:jc w:val="both"/>
      </w:pPr>
      <w:r w:rsidRPr="00B33274">
        <w:t>Zaznamenejte použitou verzi a důvod její volby do dokumentace zakázky.</w:t>
      </w:r>
    </w:p>
    <w:p w14:paraId="46B3E4A1" w14:textId="77777777" w:rsidR="00C701BE" w:rsidRPr="00B33274" w:rsidRDefault="00000000" w:rsidP="00DA3257">
      <w:pPr>
        <w:spacing w:line="240" w:lineRule="auto"/>
        <w:jc w:val="both"/>
      </w:pPr>
      <w:r w:rsidRPr="00B33274">
        <w:t>Zrušení normy neznamená samo o sobě zákaz používání staršího výrobku. Současně ale nelze staré vydání bez dalšího považovat za dostatečný podklad pro nový návrh nebo nový výrobek. Rozhoduje účel, smluvní stav, právní režim a dosažená úroveň bezpečnosti. Změnu vydání proto posuzujte věcně: co se změnilo, kterých výrobků se to týká a jaké důkazy je nutné doplnit.</w:t>
      </w:r>
    </w:p>
    <w:p w14:paraId="7E56CF4C" w14:textId="77777777" w:rsidR="00C701BE" w:rsidRPr="00B33274" w:rsidRDefault="00000000" w:rsidP="00DA3257">
      <w:pPr>
        <w:pStyle w:val="Nadpis2"/>
        <w:spacing w:before="0" w:line="240" w:lineRule="auto"/>
        <w:jc w:val="both"/>
      </w:pPr>
      <w:bookmarkStart w:id="29" w:name="_Toc243068629"/>
      <w:r w:rsidRPr="00B33274">
        <w:t>3.3 Kdy je norma závazná</w:t>
      </w:r>
      <w:bookmarkEnd w:id="29"/>
    </w:p>
    <w:p w14:paraId="635B9C81" w14:textId="77777777" w:rsidR="00C701BE" w:rsidRPr="00B33274" w:rsidRDefault="00000000" w:rsidP="00DA3257">
      <w:pPr>
        <w:spacing w:line="240" w:lineRule="auto"/>
        <w:jc w:val="both"/>
      </w:pPr>
      <w:r w:rsidRPr="00B33274">
        <w:t>ČSN není obecně závazná. Povinnost splnit konkrétní ustanovení však může vyplývat z právního předpisu nebo smluvního závazku. Technická norma se také používá jako podklad pro doložení odborné úrovně řešení. Vždy je třeba zjistit přesný způsob odkazu a rozsah požadavku; nelze mechanicky tvrdit, že všechny normy jsou povinné, ani že se jimi není nutné zabývat. [2]</w:t>
      </w:r>
    </w:p>
    <w:p w14:paraId="4C8FF17B" w14:textId="77777777" w:rsidR="00C701BE" w:rsidRPr="00B33274" w:rsidRDefault="00000000" w:rsidP="00DA3257">
      <w:pPr>
        <w:spacing w:line="240" w:lineRule="auto"/>
        <w:jc w:val="both"/>
      </w:pPr>
      <w:r w:rsidRPr="00B33274">
        <w:t>Do smlouvy pište ověřitelný požadavek. Místo obecné formulace „provedení podle platných norem“ určete relevantní dokumenty a vlastnosti. Současně stanovte postup při jejich změně během zakázky. Tím se omezí spor, zda se má použít vydání platné při nabídce, při výrobě, nebo při předání.</w:t>
      </w:r>
    </w:p>
    <w:p w14:paraId="492FD5BF" w14:textId="77777777" w:rsidR="00C701BE" w:rsidRPr="00B33274" w:rsidRDefault="00000000" w:rsidP="00DA3257">
      <w:pPr>
        <w:pStyle w:val="Nadpis2"/>
        <w:spacing w:before="0" w:line="240" w:lineRule="auto"/>
        <w:jc w:val="both"/>
      </w:pPr>
      <w:bookmarkStart w:id="30" w:name="_Toc243068630"/>
      <w:r w:rsidRPr="00B33274">
        <w:t>3.4 Harmonizované normy</w:t>
      </w:r>
      <w:bookmarkEnd w:id="30"/>
    </w:p>
    <w:p w14:paraId="4B27E6F7" w14:textId="77777777" w:rsidR="00C701BE" w:rsidRPr="00B33274" w:rsidRDefault="00000000" w:rsidP="00DA3257">
      <w:pPr>
        <w:spacing w:line="240" w:lineRule="auto"/>
        <w:jc w:val="both"/>
      </w:pPr>
      <w:r w:rsidRPr="00B33274">
        <w:t>Harmonizovaná evropská norma má vazbu na konkrétní harmonizační předpis EU. Samotná značka EN tuto vlastnost nezaručuje. Rozhodující je příslušná citace v Úředním věstníku EU, její rozsah a případná omezení. Použití citované normy v relevantním rozsahu zpravidla umožňuje využít předpoklad shody s požadavky, které pokrývá. Výrobce musí řešit i zbývající požadavky. [5]</w:t>
      </w:r>
    </w:p>
    <w:p w14:paraId="54D45EC1" w14:textId="77777777" w:rsidR="00C701BE" w:rsidRPr="00B33274" w:rsidRDefault="00000000" w:rsidP="00DA3257">
      <w:pPr>
        <w:spacing w:line="240" w:lineRule="auto"/>
        <w:jc w:val="both"/>
      </w:pPr>
      <w:r w:rsidRPr="00B33274">
        <w:t xml:space="preserve">Novější vydání normy může být technicky aktuálnější, ale nemusí mít stejný harmonizační status jako starší citované vydání. Technik proto vede dva údaje: používanou technickou verzi a její právní vztah </w:t>
      </w:r>
      <w:r w:rsidRPr="00B33274">
        <w:lastRenderedPageBreak/>
        <w:t>k příslušnému předpisu. U stavebních výrobků je navíc nutné respektovat zvláštní pravidla uvedená v kapitole 9.</w:t>
      </w:r>
    </w:p>
    <w:p w14:paraId="724407D3" w14:textId="77777777" w:rsidR="00C701BE" w:rsidRPr="00B33274" w:rsidRDefault="00000000" w:rsidP="00DA3257">
      <w:pPr>
        <w:pStyle w:val="Nadpis2"/>
        <w:spacing w:before="0" w:line="240" w:lineRule="auto"/>
        <w:jc w:val="both"/>
      </w:pPr>
      <w:bookmarkStart w:id="31" w:name="_Toc243068631"/>
      <w:r w:rsidRPr="00B33274">
        <w:t>3.5 Řízení podnikové sbírky</w:t>
      </w:r>
      <w:bookmarkEnd w:id="31"/>
    </w:p>
    <w:p w14:paraId="36ED1134" w14:textId="77777777" w:rsidR="00C701BE" w:rsidRPr="00B33274" w:rsidRDefault="00000000" w:rsidP="00DA3257">
      <w:pPr>
        <w:spacing w:line="240" w:lineRule="auto"/>
        <w:jc w:val="both"/>
      </w:pPr>
      <w:r w:rsidRPr="00B33274">
        <w:t>Za každou používanou normu určete správce. Evidence má obsahovat identifikaci, zakázky nebo procesy, které ji používají, místo přístupu a datum kontroly změn. Po vydání nové verze správce zajistí posouzení dopadů a aktualizaci navazujících postupů. Neřízené kopie v osobních složkách jsou častým zdrojem chyb. Rozmnožování a sdílení textů musí respektovat oprávnění a licenční podmínky. [2]</w:t>
      </w:r>
    </w:p>
    <w:p w14:paraId="3FB9D2EE" w14:textId="77777777" w:rsidR="00C701BE" w:rsidRPr="00B33274" w:rsidRDefault="00000000" w:rsidP="00DA3257">
      <w:pPr>
        <w:pStyle w:val="Nadpis1"/>
        <w:spacing w:before="0" w:line="240" w:lineRule="auto"/>
        <w:jc w:val="both"/>
      </w:pPr>
      <w:bookmarkStart w:id="32" w:name="_Toc243068413"/>
      <w:bookmarkStart w:id="33" w:name="_Toc243068632"/>
      <w:bookmarkStart w:id="34" w:name="_Toc243068770"/>
      <w:bookmarkStart w:id="35" w:name="_Toc243071037"/>
      <w:r w:rsidRPr="00B33274">
        <w:t>4 Metrologie a způsobilost měřidel</w:t>
      </w:r>
      <w:bookmarkEnd w:id="32"/>
      <w:bookmarkEnd w:id="33"/>
      <w:bookmarkEnd w:id="34"/>
      <w:bookmarkEnd w:id="35"/>
    </w:p>
    <w:p w14:paraId="56DDC289" w14:textId="77777777" w:rsidR="00C701BE" w:rsidRPr="00B33274" w:rsidRDefault="00000000" w:rsidP="00DA3257">
      <w:pPr>
        <w:pStyle w:val="Nadpis2"/>
        <w:spacing w:before="0" w:line="240" w:lineRule="auto"/>
        <w:jc w:val="both"/>
      </w:pPr>
      <w:bookmarkStart w:id="36" w:name="_Toc243068633"/>
      <w:r w:rsidRPr="00B33274">
        <w:t>4.1 Co musí být určeno před měřením</w:t>
      </w:r>
      <w:bookmarkEnd w:id="36"/>
    </w:p>
    <w:p w14:paraId="147CE5F4" w14:textId="77777777" w:rsidR="00C701BE" w:rsidRPr="00B33274" w:rsidRDefault="00000000" w:rsidP="00DA3257">
      <w:pPr>
        <w:spacing w:line="240" w:lineRule="auto"/>
        <w:jc w:val="both"/>
      </w:pPr>
      <w:r w:rsidRPr="00B33274">
        <w:t>Měřená veličina musí být jednoznačně vymezena. U průměru součásti je třeba určit místo a podmínky měření, u tlaku rozlišit přetlak a absolutní tlak, u průtoku určit médium a stavové podmínky. Dva správně fungující přístroje mohou ukazovat odlišné hodnoty, pokud ve skutečnosti měří jinak definovanou veličinu.</w:t>
      </w:r>
    </w:p>
    <w:p w14:paraId="168E6F80" w14:textId="77777777" w:rsidR="00C701BE" w:rsidRPr="00B33274" w:rsidRDefault="00000000" w:rsidP="00DA3257">
      <w:pPr>
        <w:spacing w:line="240" w:lineRule="auto"/>
        <w:jc w:val="both"/>
      </w:pPr>
      <w:r w:rsidRPr="00B33274">
        <w:t>Měřidlo vybírejte podle rozsahu, rozlišení, nejistoty, prostředí a dynamiky změn. Jemné rozlišení displeje nevypovídá samo o sobě o přesnosti výsledku. U rychle kolísajícího signálu může rozhodovat doba odezvy a způsob vzorkování. Ve vlhkém nebo prašném provozu může být zásadní odolnost a dlouhodobá stabilita.</w:t>
      </w:r>
    </w:p>
    <w:p w14:paraId="71583B44" w14:textId="77777777" w:rsidR="00C701BE" w:rsidRPr="00B33274" w:rsidRDefault="00000000" w:rsidP="00DA3257">
      <w:pPr>
        <w:pStyle w:val="Nadpis2"/>
        <w:spacing w:before="0" w:line="240" w:lineRule="auto"/>
        <w:jc w:val="both"/>
      </w:pPr>
      <w:bookmarkStart w:id="37" w:name="_Toc243068634"/>
      <w:r w:rsidRPr="00B33274">
        <w:t>4.2 Jednotky a zápis výsledků</w:t>
      </w:r>
      <w:bookmarkEnd w:id="37"/>
    </w:p>
    <w:p w14:paraId="60E6A1A1" w14:textId="77777777" w:rsidR="00C701BE" w:rsidRPr="00B33274" w:rsidRDefault="00000000" w:rsidP="00DA3257">
      <w:pPr>
        <w:spacing w:line="240" w:lineRule="auto"/>
        <w:jc w:val="both"/>
      </w:pPr>
      <w:r w:rsidRPr="00B33274">
        <w:t>Základ soustavy SI tvoří metr, kilogram, sekunda, ampér, kelvin, mol a kandela. Od 20. května 2019 jsou jednotky SI definovány prostřednictvím pevných číselných hodnot sedmi definičních konstant. Kilogram již není definován hmotností mezinárodního prototypu; jeho definice vychází z Planckovy konstanty. Starší definice kilogramu, ampéru, kelvinu a molu v historických učebních podkladech proto nejsou současným definičním základem. [6]</w:t>
      </w:r>
    </w:p>
    <w:p w14:paraId="0AD37622" w14:textId="77777777" w:rsidR="00C701BE" w:rsidRPr="00B33274" w:rsidRDefault="00000000" w:rsidP="00DA3257">
      <w:pPr>
        <w:spacing w:line="240" w:lineRule="auto"/>
        <w:jc w:val="both"/>
      </w:pPr>
      <w:r w:rsidRPr="00B33274">
        <w:t xml:space="preserve">Mezi číslem a značkou jednotky ponechávejte nezlomitelnou mezeru: 25 mm, 20 °C, 5 %. Značky jednotek jsou citlivé na velikost písmen. U složených jednotek používejte jednoznačný zápis, například m³/h nebo mg/l. Při převodech kontrolujte rozměr veličiny; 1 l/s odpovídá 3,6 m³/h a 1 bar odpovídá 100 </w:t>
      </w:r>
      <w:proofErr w:type="spellStart"/>
      <w:r w:rsidRPr="00B33274">
        <w:t>kPa</w:t>
      </w:r>
      <w:proofErr w:type="spellEnd"/>
      <w:r w:rsidRPr="00B33274">
        <w:t>. Podmínky měření uvádějte vždy, pokud ovlivňují interpretaci.</w:t>
      </w:r>
    </w:p>
    <w:p w14:paraId="6D67A541" w14:textId="77777777" w:rsidR="00C701BE" w:rsidRPr="00B33274" w:rsidRDefault="00000000" w:rsidP="00DA3257">
      <w:pPr>
        <w:pStyle w:val="Nadpis2"/>
        <w:spacing w:before="0" w:line="240" w:lineRule="auto"/>
        <w:jc w:val="both"/>
      </w:pPr>
      <w:bookmarkStart w:id="38" w:name="_Toc243068635"/>
      <w:r w:rsidRPr="00B33274">
        <w:t>4.3 Kalibrace ověření a seřízení</w:t>
      </w:r>
      <w:bookmarkEnd w:id="38"/>
    </w:p>
    <w:p w14:paraId="3C3BA394" w14:textId="77777777" w:rsidR="00C701BE" w:rsidRPr="00B33274" w:rsidRDefault="00000000" w:rsidP="00DA3257">
      <w:pPr>
        <w:spacing w:line="240" w:lineRule="auto"/>
        <w:jc w:val="both"/>
      </w:pPr>
      <w:r w:rsidRPr="00B33274">
        <w:t>Kalibrace stanoví vztah mezi indikovanými a referenčními hodnotami za definovaných podmínek a s uvedenými nejistotami. Sama nemusí obsahovat závěr, že měřidlo vyhovuje konkrétnímu použití. O tomto použití rozhodne odpovědný pracovník porovnáním výsledků kalibrace s požadavkem daného měření. [7]</w:t>
      </w:r>
    </w:p>
    <w:p w14:paraId="56FF2D12" w14:textId="77777777" w:rsidR="00C701BE" w:rsidRPr="00B33274" w:rsidRDefault="00000000" w:rsidP="00DA3257">
      <w:pPr>
        <w:spacing w:line="240" w:lineRule="auto"/>
        <w:jc w:val="both"/>
      </w:pPr>
      <w:r w:rsidRPr="00B33274">
        <w:t>Ověření stanoveného měřidla potvrzuje splnění příslušných metrologických požadavků. Zda je měřidlo stanovené, se posuzuje podle aktuálního právního vymezení jeho druhu a účelu použití. Kalibrace nenahrazuje požadované úřední ověření. Seřízení je zásah, kterým se upravuje chování přístroje; není totožné s kalibrací. Po zásahu je třeba znovu doložit jeho metrologický stav. [7]</w:t>
      </w:r>
    </w:p>
    <w:p w14:paraId="1670F03F" w14:textId="77777777" w:rsidR="00C701BE" w:rsidRPr="00B33274" w:rsidRDefault="00000000" w:rsidP="00DA3257">
      <w:pPr>
        <w:spacing w:line="240" w:lineRule="auto"/>
        <w:jc w:val="both"/>
      </w:pPr>
      <w:r w:rsidRPr="00B33274">
        <w:t>Příklad: vodoměr používaný k účtování a průtokoměr pro orientační sledování procesu mohou měřit stejnou veličinu, ale mají odlišný účel a mohou podléhat odlišným povinnostem. Zařazení nelze odvodit pouze z obchodního názvu přístroje.</w:t>
      </w:r>
    </w:p>
    <w:p w14:paraId="05BD5929" w14:textId="77777777" w:rsidR="00C701BE" w:rsidRPr="00B33274" w:rsidRDefault="00000000" w:rsidP="00DA3257">
      <w:pPr>
        <w:pStyle w:val="Nadpis2"/>
        <w:spacing w:before="0" w:line="240" w:lineRule="auto"/>
        <w:jc w:val="both"/>
      </w:pPr>
      <w:bookmarkStart w:id="39" w:name="_Toc243068636"/>
      <w:r w:rsidRPr="00B33274">
        <w:t>4.4 Návaznost a evidence</w:t>
      </w:r>
      <w:bookmarkEnd w:id="39"/>
    </w:p>
    <w:p w14:paraId="4C123D2E" w14:textId="77777777" w:rsidR="00C701BE" w:rsidRPr="00B33274" w:rsidRDefault="00000000" w:rsidP="00DA3257">
      <w:pPr>
        <w:spacing w:line="240" w:lineRule="auto"/>
        <w:jc w:val="both"/>
      </w:pPr>
      <w:r w:rsidRPr="00B33274">
        <w:t>Metrologická návaznost je vlastností výsledku měření: musí být možné jej vztáhnout k referenci dokumentovaným nepřerušeným řetězcem kalibrací, z nichž každá přispívá k nejistotě. Samotný kalibrační štítek celý řetězec nedokládá. Technik musí umět dohledat odpovídající list a ověřit, že jeho rozsah a podmínky odpovídají použití. [7]</w:t>
      </w:r>
    </w:p>
    <w:tbl>
      <w:tblPr>
        <w:tblStyle w:val="Mkatabulky"/>
        <w:tblW w:w="0" w:type="auto"/>
        <w:tblLayout w:type="fixed"/>
        <w:tblLook w:val="04A0" w:firstRow="1" w:lastRow="0" w:firstColumn="1" w:lastColumn="0" w:noHBand="0" w:noVBand="1"/>
      </w:tblPr>
      <w:tblGrid>
        <w:gridCol w:w="4649"/>
        <w:gridCol w:w="4649"/>
      </w:tblGrid>
      <w:tr w:rsidR="00C701BE" w:rsidRPr="000021FE" w14:paraId="172D713E" w14:textId="77777777">
        <w:trPr>
          <w:cantSplit/>
          <w:tblHeader/>
        </w:trPr>
        <w:tc>
          <w:tcPr>
            <w:tcW w:w="4649" w:type="dxa"/>
          </w:tcPr>
          <w:p w14:paraId="72C1EBE5" w14:textId="77777777" w:rsidR="00C701BE" w:rsidRPr="000021FE" w:rsidRDefault="00000000" w:rsidP="00DA3257">
            <w:pPr>
              <w:spacing w:line="240" w:lineRule="auto"/>
              <w:jc w:val="both"/>
            </w:pPr>
            <w:r w:rsidRPr="000021FE">
              <w:rPr>
                <w:b/>
              </w:rPr>
              <w:t>Údaj v evidenci</w:t>
            </w:r>
          </w:p>
        </w:tc>
        <w:tc>
          <w:tcPr>
            <w:tcW w:w="4649" w:type="dxa"/>
          </w:tcPr>
          <w:p w14:paraId="14839666" w14:textId="77777777" w:rsidR="00C701BE" w:rsidRPr="000021FE" w:rsidRDefault="00000000" w:rsidP="00DA3257">
            <w:pPr>
              <w:spacing w:line="240" w:lineRule="auto"/>
              <w:jc w:val="both"/>
            </w:pPr>
            <w:r w:rsidRPr="000021FE">
              <w:rPr>
                <w:b/>
              </w:rPr>
              <w:t>Praktický význam</w:t>
            </w:r>
          </w:p>
        </w:tc>
      </w:tr>
      <w:tr w:rsidR="00C701BE" w:rsidRPr="000021FE" w14:paraId="16EC071E" w14:textId="77777777">
        <w:trPr>
          <w:cantSplit/>
        </w:trPr>
        <w:tc>
          <w:tcPr>
            <w:tcW w:w="4649" w:type="dxa"/>
          </w:tcPr>
          <w:p w14:paraId="455E151D" w14:textId="77777777" w:rsidR="00C701BE" w:rsidRPr="000021FE" w:rsidRDefault="00000000" w:rsidP="00DA3257">
            <w:pPr>
              <w:spacing w:line="240" w:lineRule="auto"/>
              <w:jc w:val="both"/>
            </w:pPr>
            <w:r w:rsidRPr="000021FE">
              <w:t>Jedinečné číslo a výrobní číslo</w:t>
            </w:r>
          </w:p>
        </w:tc>
        <w:tc>
          <w:tcPr>
            <w:tcW w:w="4649" w:type="dxa"/>
          </w:tcPr>
          <w:p w14:paraId="455CDF36" w14:textId="77777777" w:rsidR="00C701BE" w:rsidRPr="000021FE" w:rsidRDefault="00000000" w:rsidP="00DA3257">
            <w:pPr>
              <w:spacing w:line="240" w:lineRule="auto"/>
              <w:jc w:val="both"/>
            </w:pPr>
            <w:r w:rsidRPr="000021FE">
              <w:t>Spojení přístroje s dokumenty</w:t>
            </w:r>
          </w:p>
        </w:tc>
      </w:tr>
      <w:tr w:rsidR="00C701BE" w:rsidRPr="000021FE" w14:paraId="4D6D6C86" w14:textId="77777777">
        <w:trPr>
          <w:cantSplit/>
        </w:trPr>
        <w:tc>
          <w:tcPr>
            <w:tcW w:w="4649" w:type="dxa"/>
          </w:tcPr>
          <w:p w14:paraId="77D9BDF8" w14:textId="77777777" w:rsidR="00C701BE" w:rsidRPr="000021FE" w:rsidRDefault="00000000" w:rsidP="00DA3257">
            <w:pPr>
              <w:spacing w:line="240" w:lineRule="auto"/>
              <w:jc w:val="both"/>
            </w:pPr>
            <w:r w:rsidRPr="000021FE">
              <w:t>Rozsah a místo použití</w:t>
            </w:r>
          </w:p>
        </w:tc>
        <w:tc>
          <w:tcPr>
            <w:tcW w:w="4649" w:type="dxa"/>
          </w:tcPr>
          <w:p w14:paraId="7759DC82" w14:textId="77777777" w:rsidR="00C701BE" w:rsidRPr="000021FE" w:rsidRDefault="00000000" w:rsidP="00DA3257">
            <w:pPr>
              <w:spacing w:line="240" w:lineRule="auto"/>
              <w:jc w:val="both"/>
            </w:pPr>
            <w:r w:rsidRPr="000021FE">
              <w:t>Posouzení vhodnosti pro konkrétní úkol</w:t>
            </w:r>
          </w:p>
        </w:tc>
      </w:tr>
      <w:tr w:rsidR="00C701BE" w:rsidRPr="000021FE" w14:paraId="0853E895" w14:textId="77777777">
        <w:trPr>
          <w:cantSplit/>
        </w:trPr>
        <w:tc>
          <w:tcPr>
            <w:tcW w:w="4649" w:type="dxa"/>
          </w:tcPr>
          <w:p w14:paraId="79E92FE9" w14:textId="77777777" w:rsidR="00C701BE" w:rsidRPr="000021FE" w:rsidRDefault="00000000" w:rsidP="00DA3257">
            <w:pPr>
              <w:spacing w:line="240" w:lineRule="auto"/>
              <w:jc w:val="both"/>
            </w:pPr>
            <w:r w:rsidRPr="000021FE">
              <w:t>Metrologická kategorie</w:t>
            </w:r>
          </w:p>
        </w:tc>
        <w:tc>
          <w:tcPr>
            <w:tcW w:w="4649" w:type="dxa"/>
          </w:tcPr>
          <w:p w14:paraId="01DFF8AE" w14:textId="77777777" w:rsidR="00C701BE" w:rsidRPr="000021FE" w:rsidRDefault="00000000" w:rsidP="00DA3257">
            <w:pPr>
              <w:spacing w:line="240" w:lineRule="auto"/>
              <w:jc w:val="both"/>
            </w:pPr>
            <w:r w:rsidRPr="000021FE">
              <w:t>Určení režimu kalibrace nebo ověřování</w:t>
            </w:r>
          </w:p>
        </w:tc>
      </w:tr>
      <w:tr w:rsidR="00C701BE" w:rsidRPr="000021FE" w14:paraId="07A58C21" w14:textId="77777777">
        <w:trPr>
          <w:cantSplit/>
        </w:trPr>
        <w:tc>
          <w:tcPr>
            <w:tcW w:w="4649" w:type="dxa"/>
          </w:tcPr>
          <w:p w14:paraId="160E468B" w14:textId="77777777" w:rsidR="00C701BE" w:rsidRPr="000021FE" w:rsidRDefault="00000000" w:rsidP="00DA3257">
            <w:pPr>
              <w:spacing w:line="240" w:lineRule="auto"/>
              <w:jc w:val="both"/>
            </w:pPr>
            <w:r w:rsidRPr="000021FE">
              <w:t>List a výsledky kalibrace</w:t>
            </w:r>
          </w:p>
        </w:tc>
        <w:tc>
          <w:tcPr>
            <w:tcW w:w="4649" w:type="dxa"/>
          </w:tcPr>
          <w:p w14:paraId="3CB5059F" w14:textId="77777777" w:rsidR="00C701BE" w:rsidRPr="000021FE" w:rsidRDefault="00000000" w:rsidP="00DA3257">
            <w:pPr>
              <w:spacing w:line="240" w:lineRule="auto"/>
              <w:jc w:val="both"/>
            </w:pPr>
            <w:r w:rsidRPr="000021FE">
              <w:t>Odchylky korekce a nejistoty</w:t>
            </w:r>
          </w:p>
        </w:tc>
      </w:tr>
      <w:tr w:rsidR="00C701BE" w:rsidRPr="000021FE" w14:paraId="346A5C57" w14:textId="77777777">
        <w:trPr>
          <w:cantSplit/>
        </w:trPr>
        <w:tc>
          <w:tcPr>
            <w:tcW w:w="4649" w:type="dxa"/>
          </w:tcPr>
          <w:p w14:paraId="74FD843C" w14:textId="77777777" w:rsidR="00C701BE" w:rsidRPr="000021FE" w:rsidRDefault="00000000" w:rsidP="00DA3257">
            <w:pPr>
              <w:spacing w:line="240" w:lineRule="auto"/>
              <w:jc w:val="both"/>
            </w:pPr>
            <w:r w:rsidRPr="000021FE">
              <w:lastRenderedPageBreak/>
              <w:t>Interval a termín dalšího úkonu</w:t>
            </w:r>
          </w:p>
        </w:tc>
        <w:tc>
          <w:tcPr>
            <w:tcW w:w="4649" w:type="dxa"/>
          </w:tcPr>
          <w:p w14:paraId="3CC6DF1E" w14:textId="77777777" w:rsidR="00C701BE" w:rsidRPr="000021FE" w:rsidRDefault="00000000" w:rsidP="00DA3257">
            <w:pPr>
              <w:spacing w:line="240" w:lineRule="auto"/>
              <w:jc w:val="both"/>
            </w:pPr>
            <w:r w:rsidRPr="000021FE">
              <w:t>Včasné objednání a vyřazení z použití</w:t>
            </w:r>
          </w:p>
        </w:tc>
      </w:tr>
      <w:tr w:rsidR="00C701BE" w:rsidRPr="000021FE" w14:paraId="07162FFE" w14:textId="77777777">
        <w:trPr>
          <w:cantSplit/>
        </w:trPr>
        <w:tc>
          <w:tcPr>
            <w:tcW w:w="4649" w:type="dxa"/>
          </w:tcPr>
          <w:p w14:paraId="6F65324B" w14:textId="77777777" w:rsidR="00C701BE" w:rsidRPr="000021FE" w:rsidRDefault="00000000" w:rsidP="00DA3257">
            <w:pPr>
              <w:spacing w:line="240" w:lineRule="auto"/>
              <w:jc w:val="both"/>
            </w:pPr>
            <w:r w:rsidRPr="000021FE">
              <w:t>Opravy kontroly a mimořádné události</w:t>
            </w:r>
          </w:p>
        </w:tc>
        <w:tc>
          <w:tcPr>
            <w:tcW w:w="4649" w:type="dxa"/>
          </w:tcPr>
          <w:p w14:paraId="18476C65" w14:textId="77777777" w:rsidR="00C701BE" w:rsidRPr="000021FE" w:rsidRDefault="00000000" w:rsidP="00DA3257">
            <w:pPr>
              <w:spacing w:line="240" w:lineRule="auto"/>
              <w:jc w:val="both"/>
            </w:pPr>
            <w:r w:rsidRPr="000021FE">
              <w:t>Sledování změn a rizika chybných výsledků</w:t>
            </w:r>
          </w:p>
        </w:tc>
      </w:tr>
      <w:tr w:rsidR="00C701BE" w:rsidRPr="000021FE" w14:paraId="55E2DF37" w14:textId="77777777">
        <w:trPr>
          <w:cantSplit/>
        </w:trPr>
        <w:tc>
          <w:tcPr>
            <w:tcW w:w="4649" w:type="dxa"/>
          </w:tcPr>
          <w:p w14:paraId="793BD9D1" w14:textId="77777777" w:rsidR="00C701BE" w:rsidRPr="000021FE" w:rsidRDefault="00000000" w:rsidP="00DA3257">
            <w:pPr>
              <w:spacing w:line="240" w:lineRule="auto"/>
              <w:jc w:val="both"/>
            </w:pPr>
            <w:r w:rsidRPr="000021FE">
              <w:t>Odpovědná osoba a aktuální stav</w:t>
            </w:r>
          </w:p>
        </w:tc>
        <w:tc>
          <w:tcPr>
            <w:tcW w:w="4649" w:type="dxa"/>
          </w:tcPr>
          <w:p w14:paraId="08203020" w14:textId="77777777" w:rsidR="00C701BE" w:rsidRPr="000021FE" w:rsidRDefault="00000000" w:rsidP="00DA3257">
            <w:pPr>
              <w:spacing w:line="240" w:lineRule="auto"/>
              <w:jc w:val="both"/>
            </w:pPr>
            <w:r w:rsidRPr="000021FE">
              <w:t>Zabránění použití nezpůsobilého přístroje</w:t>
            </w:r>
          </w:p>
        </w:tc>
      </w:tr>
    </w:tbl>
    <w:p w14:paraId="7B9A2588" w14:textId="77777777" w:rsidR="00C701BE" w:rsidRPr="00B33274" w:rsidRDefault="00C701BE" w:rsidP="00DA3257">
      <w:pPr>
        <w:spacing w:line="240" w:lineRule="auto"/>
        <w:jc w:val="both"/>
      </w:pPr>
    </w:p>
    <w:p w14:paraId="639EC977" w14:textId="77777777" w:rsidR="00C701BE" w:rsidRPr="00B33274" w:rsidRDefault="00000000" w:rsidP="00DA3257">
      <w:pPr>
        <w:spacing w:line="240" w:lineRule="auto"/>
        <w:jc w:val="both"/>
      </w:pPr>
      <w:r w:rsidRPr="00B33274">
        <w:t>Kalibrační interval pracovního měřidla stanovujte podle rizika, intenzity provozu, stability a výsledků předchozích kalibrací. Není obecně správné přiřadit všem přístrojům jeden rok. U ověřování stanovených měřidel se postupuje podle příslušných pravidel. Po pádu, přetížení nebo opravě vyhodnoťte potřebu mimořádné kontroly bez ohledu na plánovaný termín.</w:t>
      </w:r>
    </w:p>
    <w:p w14:paraId="5DA3CC32" w14:textId="77777777" w:rsidR="00C701BE" w:rsidRPr="00B33274" w:rsidRDefault="00000000" w:rsidP="00DA3257">
      <w:pPr>
        <w:pStyle w:val="Nadpis1"/>
        <w:spacing w:before="0" w:line="240" w:lineRule="auto"/>
        <w:jc w:val="both"/>
      </w:pPr>
      <w:bookmarkStart w:id="40" w:name="_Toc243068414"/>
      <w:bookmarkStart w:id="41" w:name="_Toc243068637"/>
      <w:bookmarkStart w:id="42" w:name="_Toc243068771"/>
      <w:bookmarkStart w:id="43" w:name="_Toc243071038"/>
      <w:r w:rsidRPr="00B33274">
        <w:t>5 Nejistota a rozhodování o shodě</w:t>
      </w:r>
      <w:bookmarkEnd w:id="40"/>
      <w:bookmarkEnd w:id="41"/>
      <w:bookmarkEnd w:id="42"/>
      <w:bookmarkEnd w:id="43"/>
    </w:p>
    <w:p w14:paraId="6FDD7E91" w14:textId="77777777" w:rsidR="00C701BE" w:rsidRPr="00B33274" w:rsidRDefault="00000000" w:rsidP="00DA3257">
      <w:pPr>
        <w:pStyle w:val="Nadpis2"/>
        <w:spacing w:before="0" w:line="240" w:lineRule="auto"/>
        <w:jc w:val="both"/>
      </w:pPr>
      <w:bookmarkStart w:id="44" w:name="_Toc243068638"/>
      <w:r w:rsidRPr="00B33274">
        <w:t>5.1 Výsledek není samotné číslo</w:t>
      </w:r>
      <w:bookmarkEnd w:id="44"/>
    </w:p>
    <w:p w14:paraId="1F4D69CD" w14:textId="77777777" w:rsidR="00C701BE" w:rsidRPr="00B33274" w:rsidRDefault="00000000" w:rsidP="00DA3257">
      <w:pPr>
        <w:spacing w:line="240" w:lineRule="auto"/>
        <w:jc w:val="both"/>
      </w:pPr>
      <w:r w:rsidRPr="00B33274">
        <w:t>Každé měření je spojeno s nejistotou. Přispívá k ní například kalibrace, opakovatelnost, rozlišení, vliv prostředí, ustavení vzorku a použitá metoda. Opakováním lze omezovat některé náhodné příspěvky, nikoli automaticky odstranit systematický vliv nesprávné korekce nebo nevhodného postupu.</w:t>
      </w:r>
    </w:p>
    <w:p w14:paraId="77E0B150" w14:textId="77777777" w:rsidR="00C701BE" w:rsidRPr="00B33274" w:rsidRDefault="00000000" w:rsidP="00DA3257">
      <w:pPr>
        <w:spacing w:line="240" w:lineRule="auto"/>
        <w:jc w:val="both"/>
      </w:pPr>
      <w:r w:rsidRPr="00B33274">
        <w:t>Rozlišujte chybu a nejistotu. Chyba je rozdíl vůči referenční hodnotě; nejistota charakterizuje rozptýlení hodnot, které lze měřené veličině přiřadit. Korekce známé odchylky může výsledek upravit, ale ani korigovaný výsledek není bez nejistoty.</w:t>
      </w:r>
    </w:p>
    <w:p w14:paraId="01FF5416" w14:textId="77777777" w:rsidR="00C701BE" w:rsidRPr="00B33274" w:rsidRDefault="00000000" w:rsidP="00DA3257">
      <w:pPr>
        <w:pStyle w:val="Nadpis2"/>
        <w:spacing w:before="0" w:line="240" w:lineRule="auto"/>
        <w:jc w:val="both"/>
      </w:pPr>
      <w:bookmarkStart w:id="45" w:name="_Toc243068639"/>
      <w:r w:rsidRPr="00B33274">
        <w:t>5.2 Jednoduchý výpočet</w:t>
      </w:r>
      <w:bookmarkEnd w:id="45"/>
    </w:p>
    <w:p w14:paraId="3B497395" w14:textId="77777777" w:rsidR="00C701BE" w:rsidRPr="00B33274" w:rsidRDefault="00000000" w:rsidP="00DA3257">
      <w:pPr>
        <w:spacing w:line="240" w:lineRule="auto"/>
        <w:jc w:val="both"/>
      </w:pPr>
      <w:r w:rsidRPr="00B33274">
        <w:t>Předpokládejme tři nezávislé příspěvky ke standardní nejistotě měření délky: kalibrace 0,010 mm, opakovatelnost 0,015 mm a rozlišení 0,006 mm. Všechny jsou již vyjádřeny jako standardní nejistoty ve stejných jednotkách. Jejich kvadratickým složením získáme kombinovanou standardní nejistotu přibližně 0,019 mm. Při faktoru pokrytí k = 2 je rozšířená nejistota přibližně 0,038 mm.</w:t>
      </w:r>
    </w:p>
    <w:p w14:paraId="0BE3FFB0" w14:textId="77777777" w:rsidR="00C701BE" w:rsidRPr="00B33274" w:rsidRDefault="00000000" w:rsidP="00DA3257">
      <w:pPr>
        <w:spacing w:line="240" w:lineRule="auto"/>
        <w:jc w:val="both"/>
      </w:pPr>
      <w:r w:rsidRPr="00B33274">
        <w:t>Tento postup platí pro uvedený jednoduchý model s nezávislými vstupy a jednotkovými citlivostními koeficienty. V obecném případě je nutné použít měřicí model, citlivostní koeficienty a případné korelace. Faktor k = 2 není bez dalších předpokladů univerzální zárukou přesně 95% pokrytí. Způsob výpočtu musí odpovídat metodě a dostupným údajům. [8, 12]</w:t>
      </w:r>
    </w:p>
    <w:p w14:paraId="44D4C446" w14:textId="77777777" w:rsidR="00C701BE" w:rsidRPr="00B33274" w:rsidRDefault="00000000" w:rsidP="00DA3257">
      <w:pPr>
        <w:pStyle w:val="Nadpis2"/>
        <w:spacing w:before="0" w:line="240" w:lineRule="auto"/>
        <w:jc w:val="both"/>
      </w:pPr>
      <w:bookmarkStart w:id="46" w:name="_Toc243068640"/>
      <w:r w:rsidRPr="00B33274">
        <w:t>5.3 Rozhodovací pravidlo musí být známé předem</w:t>
      </w:r>
      <w:bookmarkEnd w:id="46"/>
    </w:p>
    <w:p w14:paraId="317A9A41" w14:textId="77777777" w:rsidR="00C701BE" w:rsidRPr="00B33274" w:rsidRDefault="00000000" w:rsidP="00DA3257">
      <w:pPr>
        <w:spacing w:line="240" w:lineRule="auto"/>
        <w:jc w:val="both"/>
      </w:pPr>
      <w:r w:rsidRPr="00B33274">
        <w:t>Porovnání naměřené hodnoty s mezí vyžaduje pravidlo, jak se zohlední nejistota a riziko chybného přijetí nebo odmítnutí. Pravidlo má být určeno právním předpisem, normou nebo dohodou se zákazníkem. Laboratoř musí při výroku o shodě použité pravidlo doložit. Nelze je účelově změnit teprve poté, co se ukáže hraniční výsledek. [8]</w:t>
      </w:r>
    </w:p>
    <w:p w14:paraId="477C8DDF" w14:textId="77777777" w:rsidR="00C701BE" w:rsidRPr="00B33274" w:rsidRDefault="00000000" w:rsidP="00DA3257">
      <w:pPr>
        <w:spacing w:line="240" w:lineRule="auto"/>
        <w:jc w:val="both"/>
      </w:pPr>
      <w:r w:rsidRPr="00B33274">
        <w:t>Výukový příklad: přípustný průměr je 49,90 až 50,10 mm. Výsledek je 50,08 mm s rozšířenou nejistotou 0,04 mm. Prosté porovnání naměřené hodnoty s tolerancí vede k přijetí. Konzervativní pravidlo požadující, aby celý interval výsledku ležel v toleranci, k přijetí nevede: horní hranice intervalu je 50,12 mm. Tento závěr ještě sám o sobě neprokazuje fyzickou neshodu součásti. Výrok musí odpovídat zvolenému pravidlu.</w:t>
      </w:r>
    </w:p>
    <w:p w14:paraId="105B912F" w14:textId="77777777" w:rsidR="00C701BE" w:rsidRPr="00B33274" w:rsidRDefault="00000000" w:rsidP="00DA3257">
      <w:pPr>
        <w:spacing w:line="240" w:lineRule="auto"/>
        <w:jc w:val="both"/>
      </w:pPr>
      <w:r w:rsidRPr="00B33274">
        <w:t>Pro takové konzervativní přijetí při horním limitu musí platit, že součet výsledku a rozšířené nejistoty nepřesáhne limit. Při dolním limitu musí rozdíl výsledku a rozšířené nejistoty zůstat alespoň na dolním limitu. Jde o jeden možný způsob zavedení ochranného pásma; není univerzálním předpisem pro všechna odvětví.</w:t>
      </w:r>
    </w:p>
    <w:p w14:paraId="23DD8481" w14:textId="77777777" w:rsidR="00C701BE" w:rsidRPr="00B33274" w:rsidRDefault="00000000" w:rsidP="00DA3257">
      <w:pPr>
        <w:pStyle w:val="Nadpis2"/>
        <w:spacing w:before="0" w:line="240" w:lineRule="auto"/>
        <w:jc w:val="both"/>
      </w:pPr>
      <w:bookmarkStart w:id="47" w:name="_Toc243068641"/>
      <w:r w:rsidRPr="00B33274">
        <w:t>5.4 Výsledky blízko meze</w:t>
      </w:r>
      <w:bookmarkEnd w:id="47"/>
    </w:p>
    <w:p w14:paraId="043106D5" w14:textId="77777777" w:rsidR="00C701BE" w:rsidRPr="00B33274" w:rsidRDefault="00000000" w:rsidP="00DA3257">
      <w:pPr>
        <w:spacing w:line="240" w:lineRule="auto"/>
        <w:jc w:val="both"/>
      </w:pPr>
      <w:r w:rsidRPr="00B33274">
        <w:t>Hraniční výsledek řešte podle předem stanoveného postupu. Lze využít přesnější metodu, doplňující měření nebo předem dohodnutý způsob dalšího rozhodnutí. Není správné opakovat zkoušku až do prvního vyhovujícího výsledku a předchozí hodnoty vymazat. Záznam musí zachovat původní data i důvod opakování.</w:t>
      </w:r>
    </w:p>
    <w:p w14:paraId="67DFD52B" w14:textId="77777777" w:rsidR="00C701BE" w:rsidRPr="00B33274" w:rsidRDefault="00000000" w:rsidP="00DA3257">
      <w:pPr>
        <w:spacing w:line="240" w:lineRule="auto"/>
        <w:jc w:val="both"/>
      </w:pPr>
      <w:r w:rsidRPr="00B33274">
        <w:t>U sériové výroby může být hraniční výsledek signálem posunu procesu. I když konkrétní kus projde přejímkou, má smysl prověřit seřízení výroby, opotřebení nástroje a trend předchozích hodnot. Přejímka a řízení procesu řeší dvě různé otázky: přijatelnost kusu a dlouhodobou stabilitu výroby.</w:t>
      </w:r>
    </w:p>
    <w:p w14:paraId="1101D0E1" w14:textId="77777777" w:rsidR="00C701BE" w:rsidRPr="00B33274" w:rsidRDefault="00000000" w:rsidP="00DA3257">
      <w:pPr>
        <w:pStyle w:val="Nadpis1"/>
        <w:spacing w:before="0" w:line="240" w:lineRule="auto"/>
        <w:jc w:val="both"/>
      </w:pPr>
      <w:bookmarkStart w:id="48" w:name="_Toc243068415"/>
      <w:bookmarkStart w:id="49" w:name="_Toc243068642"/>
      <w:bookmarkStart w:id="50" w:name="_Toc243068772"/>
      <w:bookmarkStart w:id="51" w:name="_Toc243071039"/>
      <w:r w:rsidRPr="00B33274">
        <w:lastRenderedPageBreak/>
        <w:t>6 Zkušebnictví a výběr odborného pracoviště</w:t>
      </w:r>
      <w:bookmarkEnd w:id="48"/>
      <w:bookmarkEnd w:id="49"/>
      <w:bookmarkEnd w:id="50"/>
      <w:bookmarkEnd w:id="51"/>
    </w:p>
    <w:p w14:paraId="0DB6FDB1" w14:textId="77777777" w:rsidR="00C701BE" w:rsidRPr="00B33274" w:rsidRDefault="00000000" w:rsidP="00DA3257">
      <w:pPr>
        <w:pStyle w:val="Nadpis2"/>
        <w:spacing w:before="0" w:line="240" w:lineRule="auto"/>
        <w:jc w:val="both"/>
      </w:pPr>
      <w:bookmarkStart w:id="52" w:name="_Toc243068643"/>
      <w:r w:rsidRPr="00B33274">
        <w:t>6.1 Zkoušení certifikace a inspekce</w:t>
      </w:r>
      <w:bookmarkEnd w:id="52"/>
    </w:p>
    <w:p w14:paraId="402F1A63" w14:textId="77777777" w:rsidR="00C701BE" w:rsidRPr="00B33274" w:rsidRDefault="00000000" w:rsidP="00DA3257">
      <w:pPr>
        <w:spacing w:line="240" w:lineRule="auto"/>
        <w:jc w:val="both"/>
      </w:pPr>
      <w:r w:rsidRPr="00B33274">
        <w:t>Zkušební laboratoř stanovuje vlastnosti vzorku definovanou metodou. Kalibrační laboratoř stanovuje metrologické charakteristiky měřidla. Inspekce hodnotí předmět podle vymezených požadavků a může zahrnovat odborný úsudek. Certifikace potvrzuje splnění požadavků v rozsahu konkrétního schématu. Tyto činnosti se mohou doplňovat, ale každá má vlastní pravidla a výstupy. [1, 3, 4]</w:t>
      </w:r>
    </w:p>
    <w:p w14:paraId="6A140C72" w14:textId="77777777" w:rsidR="00C701BE" w:rsidRPr="00B33274" w:rsidRDefault="00000000" w:rsidP="00DA3257">
      <w:pPr>
        <w:spacing w:line="240" w:lineRule="auto"/>
        <w:jc w:val="both"/>
      </w:pPr>
      <w:r w:rsidRPr="00B33274">
        <w:t>V podnikové praxi rozlišujte vývojovou zkoušku, ověření typu, kusovou kontrolu a přejímku dodávky. Vývojová zkouška pomáhá zlepšit řešení. Zkouška typu dokládá vlastnosti určitého provedení. Kusová kontrola se týká jednotlivého kusu. Přejímka odpovídá na otázku, zda dodávka splňuje dohodnuté podmínky. Výsledek jednoho režimu nemusí pokrýt jiný.</w:t>
      </w:r>
    </w:p>
    <w:p w14:paraId="1E2E725E" w14:textId="77777777" w:rsidR="00C701BE" w:rsidRPr="00B33274" w:rsidRDefault="00000000" w:rsidP="00DA3257">
      <w:pPr>
        <w:pStyle w:val="Nadpis2"/>
        <w:spacing w:before="0" w:line="240" w:lineRule="auto"/>
        <w:jc w:val="both"/>
      </w:pPr>
      <w:bookmarkStart w:id="53" w:name="_Toc243068644"/>
      <w:r w:rsidRPr="00B33274">
        <w:t>6.2 Akreditace není obecné oprávnění ke všemu</w:t>
      </w:r>
      <w:bookmarkEnd w:id="53"/>
    </w:p>
    <w:p w14:paraId="76E64AC6" w14:textId="77777777" w:rsidR="00C701BE" w:rsidRPr="00B33274" w:rsidRDefault="00000000" w:rsidP="00DA3257">
      <w:pPr>
        <w:spacing w:line="240" w:lineRule="auto"/>
        <w:jc w:val="both"/>
      </w:pPr>
      <w:r w:rsidRPr="00B33274">
        <w:t>Akreditace laboratoře podle ČSN EN ISO/IEC 17025:2018 dokládá kompetenci v přesně vymezeném rozsahu. Při výběru nestačí logo nebo titulní strana osvědčení. Rozhodující je příloha a případně navazující aktuální seznam činností při flexibilním rozsahu: předmět zkoušení, metoda, rozsah a pracoviště. Ověřte, zda objednávaný úkon skutečně spadá do akreditace. [3]</w:t>
      </w:r>
    </w:p>
    <w:p w14:paraId="7BCF8AD5" w14:textId="77777777" w:rsidR="00C701BE" w:rsidRPr="00B33274" w:rsidRDefault="00000000" w:rsidP="00DA3257">
      <w:pPr>
        <w:spacing w:line="240" w:lineRule="auto"/>
        <w:jc w:val="both"/>
      </w:pPr>
      <w:r w:rsidRPr="00B33274">
        <w:t>Akreditace, autorizace a oznámení nejsou synonyma. Autorizace nebo oznámení je spojeno s činnostmi podle konkrétního právního režimu. Akreditovaná laboratoř se nestává automaticky oznámeným subjektem. Při právně vyžadované účasti třetí strany ověřte její oprávnění pro daný výrobek a úkon, u oznámeného subjektu také v databázi NANDO. [4, 5]</w:t>
      </w:r>
    </w:p>
    <w:p w14:paraId="640E05C9" w14:textId="77777777" w:rsidR="00C701BE" w:rsidRPr="00B33274" w:rsidRDefault="00000000" w:rsidP="00DA3257">
      <w:pPr>
        <w:spacing w:line="240" w:lineRule="auto"/>
        <w:jc w:val="both"/>
      </w:pPr>
      <w:r w:rsidRPr="00B33274">
        <w:t>Certifikace systému managementu podle ISO 9001 sama neprokazuje kompetenci ke konkrétní zkoušce ani shodu konkrétního výrobku. Je užitečným údajem o řízení organizace, ale nenahrazuje rozsah akreditace, povinné oprávnění ani vlastní zkušební důkaz.</w:t>
      </w:r>
    </w:p>
    <w:p w14:paraId="0900EC54" w14:textId="77777777" w:rsidR="00C701BE" w:rsidRPr="00B33274" w:rsidRDefault="00000000" w:rsidP="00DA3257">
      <w:pPr>
        <w:pStyle w:val="Nadpis2"/>
        <w:spacing w:before="0" w:line="240" w:lineRule="auto"/>
        <w:jc w:val="both"/>
      </w:pPr>
      <w:bookmarkStart w:id="54" w:name="_Toc243068645"/>
      <w:r w:rsidRPr="00B33274">
        <w:t>6.3 Co prověřit před objednáním</w:t>
      </w:r>
      <w:bookmarkEnd w:id="54"/>
    </w:p>
    <w:p w14:paraId="0377131C" w14:textId="77777777" w:rsidR="00C701BE" w:rsidRPr="00B33274" w:rsidRDefault="00000000" w:rsidP="00DA3257">
      <w:pPr>
        <w:spacing w:line="240" w:lineRule="auto"/>
        <w:jc w:val="both"/>
      </w:pPr>
      <w:r w:rsidRPr="00B33274">
        <w:t>Posuďte, zda laboratoř umí požadovanou metodu v potřebném rozsahu, jakou nejistotu může dosáhnout, jak zabezpečí vzorky a zda lze zkoušku provést v požadovaném termínu. Dále zjistěte, zda některé úkony zadává externě, jak se schvalují odchylky a kdo řeší odborné dotazy. Pro plán výroby je důležitý nejen termín zkoušky, ale i čas na přípravu vzorků a případné nápravné opatření.</w:t>
      </w:r>
    </w:p>
    <w:p w14:paraId="0A24BC51" w14:textId="77777777" w:rsidR="00C701BE" w:rsidRPr="00B33274" w:rsidRDefault="00000000" w:rsidP="00DA3257">
      <w:pPr>
        <w:spacing w:line="240" w:lineRule="auto"/>
        <w:jc w:val="both"/>
      </w:pPr>
      <w:r w:rsidRPr="00B33274">
        <w:t>Cena má smysl až při srovnatelném rozsahu. Nabídka bez vzorkování, bez výroku o shodě nebo bez některých povinných zkoušek nemusí být skutečně levnější. Zadavatel musí nabídky porovnat po jednotlivých úkonech a výstupech.</w:t>
      </w:r>
    </w:p>
    <w:p w14:paraId="3E592A2C" w14:textId="77777777" w:rsidR="00C701BE" w:rsidRPr="00B33274" w:rsidRDefault="00000000" w:rsidP="00DA3257">
      <w:pPr>
        <w:pStyle w:val="Nadpis1"/>
        <w:spacing w:before="0" w:line="240" w:lineRule="auto"/>
        <w:jc w:val="both"/>
      </w:pPr>
      <w:bookmarkStart w:id="55" w:name="_Toc243068416"/>
      <w:bookmarkStart w:id="56" w:name="_Toc243068646"/>
      <w:bookmarkStart w:id="57" w:name="_Toc243068773"/>
      <w:bookmarkStart w:id="58" w:name="_Toc243071040"/>
      <w:r w:rsidRPr="00B33274">
        <w:t>7 Jak připravit provést a vyhodnotit zkoušku</w:t>
      </w:r>
      <w:bookmarkEnd w:id="55"/>
      <w:bookmarkEnd w:id="56"/>
      <w:bookmarkEnd w:id="57"/>
      <w:bookmarkEnd w:id="58"/>
    </w:p>
    <w:p w14:paraId="7DB39D0B" w14:textId="77777777" w:rsidR="00C701BE" w:rsidRPr="00B33274" w:rsidRDefault="00000000" w:rsidP="00DA3257">
      <w:pPr>
        <w:pStyle w:val="Nadpis2"/>
        <w:spacing w:before="0" w:line="240" w:lineRule="auto"/>
        <w:jc w:val="both"/>
      </w:pPr>
      <w:bookmarkStart w:id="59" w:name="_Toc243068647"/>
      <w:r w:rsidRPr="00B33274">
        <w:t>7.1 Zkušební plán</w:t>
      </w:r>
      <w:bookmarkEnd w:id="59"/>
    </w:p>
    <w:p w14:paraId="6E9C9EA3" w14:textId="77777777" w:rsidR="00C701BE" w:rsidRPr="00B33274" w:rsidRDefault="00000000" w:rsidP="00DA3257">
      <w:pPr>
        <w:spacing w:line="240" w:lineRule="auto"/>
        <w:jc w:val="both"/>
      </w:pPr>
      <w:r w:rsidRPr="00B33274">
        <w:t>Plán musí předem určit účel, zkoušený předmět, metodu, počet vzorků, jejich odběr, úpravu a kondicionování, měřidla, podmínky, kritéria přijetí a způsob dokumentace. U destruktivní zkoušky vyjasněte nakládání se zbytky vzorků a možnost opakování. U zkoušky celku stanovte jeho skutečnou konfiguraci včetně příslušenství a softwaru.</w:t>
      </w:r>
    </w:p>
    <w:p w14:paraId="097EC5EF" w14:textId="77777777" w:rsidR="00C701BE" w:rsidRPr="00B33274" w:rsidRDefault="00000000" w:rsidP="00DA3257">
      <w:pPr>
        <w:spacing w:line="240" w:lineRule="auto"/>
        <w:jc w:val="both"/>
      </w:pPr>
      <w:r w:rsidRPr="00B33274">
        <w:t>Počet zkoušených kusů nelze volit jen podle ceny. Má odpovídat normě, požadovanému závěru a proměnlivosti výroby. U výběrové přejímky určete definici dávky, náhodný odběr, rozsah výběru a přejímací pravidlo. Úspěch několika libovolně vybraných kusů není důkazem, že všechny kusy dávky vyhovují.</w:t>
      </w:r>
    </w:p>
    <w:p w14:paraId="5F7C18E5" w14:textId="77777777" w:rsidR="00C701BE" w:rsidRPr="00B33274" w:rsidRDefault="00000000" w:rsidP="00DA3257">
      <w:pPr>
        <w:pStyle w:val="Nadpis2"/>
        <w:spacing w:before="0" w:line="240" w:lineRule="auto"/>
        <w:jc w:val="both"/>
      </w:pPr>
      <w:bookmarkStart w:id="60" w:name="_Toc243068648"/>
      <w:r w:rsidRPr="00B33274">
        <w:t>7.2 Vzorkování a identifikace</w:t>
      </w:r>
      <w:bookmarkEnd w:id="60"/>
    </w:p>
    <w:p w14:paraId="36D3F670" w14:textId="77777777" w:rsidR="00C701BE" w:rsidRPr="00B33274" w:rsidRDefault="00000000" w:rsidP="00DA3257">
      <w:pPr>
        <w:spacing w:line="240" w:lineRule="auto"/>
        <w:jc w:val="both"/>
      </w:pPr>
      <w:r w:rsidRPr="00B33274">
        <w:t>Vzorek musí být identifikovatelný od odběru až po výsledek. Evidujte původ, šarži, datum, místo, osobu odběru a podmínky dopravy. Pokud vzorek vybral zákazník, musí být zřejmé, že laboratoř jeho reprezentativnost sama nezajišťovala. Závěr o celém souboru vyžaduje odpovídající plán vzorkování.</w:t>
      </w:r>
    </w:p>
    <w:p w14:paraId="7CA1FA14" w14:textId="77777777" w:rsidR="00C701BE" w:rsidRPr="00B33274" w:rsidRDefault="00000000" w:rsidP="00DA3257">
      <w:pPr>
        <w:spacing w:line="240" w:lineRule="auto"/>
        <w:jc w:val="both"/>
      </w:pPr>
      <w:r w:rsidRPr="00B33274">
        <w:t>Při odběru vody nebo jiného proměnlivého média je významná volba místa, okamžiku, nádoby, konzervace a doby do analýzy. Přesná laboratorní analýza nemůže napravit nereprezentativní nebo znehodnocený odběr. Přípustné podmínky se přebírají z příslušné metody; nelze stanovit jeden univerzální režim pro všechny ukazatele.</w:t>
      </w:r>
    </w:p>
    <w:p w14:paraId="6D03D7D6" w14:textId="77777777" w:rsidR="00C701BE" w:rsidRPr="00B33274" w:rsidRDefault="00000000" w:rsidP="00DA3257">
      <w:pPr>
        <w:pStyle w:val="Nadpis2"/>
        <w:spacing w:before="0" w:line="240" w:lineRule="auto"/>
        <w:jc w:val="both"/>
      </w:pPr>
      <w:bookmarkStart w:id="61" w:name="_Toc243068649"/>
      <w:r w:rsidRPr="00B33274">
        <w:lastRenderedPageBreak/>
        <w:t>7.3 Průběh a záznam</w:t>
      </w:r>
      <w:bookmarkEnd w:id="61"/>
    </w:p>
    <w:p w14:paraId="477C0F46" w14:textId="77777777" w:rsidR="00C701BE" w:rsidRPr="00B33274" w:rsidRDefault="00000000" w:rsidP="00DA3257">
      <w:pPr>
        <w:spacing w:line="240" w:lineRule="auto"/>
        <w:jc w:val="both"/>
      </w:pPr>
      <w:r w:rsidRPr="00B33274">
        <w:t xml:space="preserve">Před zahájením ověřte stav zařízení a identitu vzorku. Během zkoušky zaznamenávejte surové údaje, podmínky, časový průběh a odchylky. Automatický sběr dat musí uchovat původní soubory a potřebná metadata. Opravy se provádějí </w:t>
      </w:r>
      <w:proofErr w:type="spellStart"/>
      <w:r w:rsidRPr="00B33274">
        <w:t>dohledatelně</w:t>
      </w:r>
      <w:proofErr w:type="spellEnd"/>
      <w:r w:rsidRPr="00B33274">
        <w:t xml:space="preserve"> tak, aby bylo možné rekonstruovat původní záznam i důvod změny.</w:t>
      </w:r>
    </w:p>
    <w:p w14:paraId="7D62C4DF" w14:textId="77777777" w:rsidR="00C701BE" w:rsidRPr="00B33274" w:rsidRDefault="00000000" w:rsidP="00DA3257">
      <w:pPr>
        <w:spacing w:line="240" w:lineRule="auto"/>
        <w:jc w:val="both"/>
      </w:pPr>
      <w:r w:rsidRPr="00B33274">
        <w:t>Odchylku od normové metody nelze skrýt pod původní označení zkoušky. Je třeba ji popsat, posoudit její dopad a případně vyžádat souhlas zadavatele. Výsledek po podstatné změně postupu nemusí být přímo srovnatelný s výsledkem podle úplné normové metody.</w:t>
      </w:r>
    </w:p>
    <w:p w14:paraId="5127940D" w14:textId="77777777" w:rsidR="00C701BE" w:rsidRPr="00B33274" w:rsidRDefault="00000000" w:rsidP="00DA3257">
      <w:pPr>
        <w:spacing w:line="240" w:lineRule="auto"/>
        <w:jc w:val="both"/>
      </w:pPr>
      <w:r w:rsidRPr="00B33274">
        <w:t>Bezpečnost zkoušky se řeší předem. Tlakové, elektrické, teplotní a destruktivní zkoušky mohou vytvářet rizika, která při běžném provozu nevznikají. Zkušební postup má zahrnovat ochranná opatření, oprávnění obsluhy a podmínky bezpečného ukončení. Konkrétní hodnoty zatížení se vždy přebírají z příslušného předpisu nebo schváleného plánu.</w:t>
      </w:r>
    </w:p>
    <w:p w14:paraId="76678612" w14:textId="77777777" w:rsidR="00C701BE" w:rsidRPr="00B33274" w:rsidRDefault="00000000" w:rsidP="00DA3257">
      <w:pPr>
        <w:pStyle w:val="Nadpis2"/>
        <w:spacing w:before="0" w:line="240" w:lineRule="auto"/>
        <w:jc w:val="both"/>
      </w:pPr>
      <w:bookmarkStart w:id="62" w:name="_Toc243068650"/>
      <w:r w:rsidRPr="00B33274">
        <w:t>7.4 Převzetí protokolu</w:t>
      </w:r>
      <w:bookmarkEnd w:id="62"/>
    </w:p>
    <w:p w14:paraId="7C8F4816" w14:textId="77777777" w:rsidR="00C701BE" w:rsidRPr="00B33274" w:rsidRDefault="00000000" w:rsidP="00DA3257">
      <w:pPr>
        <w:pStyle w:val="Seznamsodrkami"/>
        <w:spacing w:line="240" w:lineRule="auto"/>
        <w:ind w:left="283" w:hanging="142"/>
        <w:jc w:val="both"/>
      </w:pPr>
      <w:r w:rsidRPr="00B33274">
        <w:t>Souhlasí označení výrobku, vzorku, výrobní číslo a šarže s objednávkou?</w:t>
      </w:r>
    </w:p>
    <w:p w14:paraId="1FCD7565" w14:textId="77777777" w:rsidR="00C701BE" w:rsidRPr="00B33274" w:rsidRDefault="00000000" w:rsidP="00DA3257">
      <w:pPr>
        <w:pStyle w:val="Seznamsodrkami"/>
        <w:spacing w:line="240" w:lineRule="auto"/>
        <w:ind w:left="283" w:hanging="142"/>
        <w:jc w:val="both"/>
      </w:pPr>
      <w:r w:rsidRPr="00B33274">
        <w:t>Jsou uvedeny metoda, vydání, podmínky a všechny důležité odchylky?</w:t>
      </w:r>
    </w:p>
    <w:p w14:paraId="281D71D8" w14:textId="77777777" w:rsidR="00C701BE" w:rsidRPr="00B33274" w:rsidRDefault="00000000" w:rsidP="00DA3257">
      <w:pPr>
        <w:pStyle w:val="Seznamsodrkami"/>
        <w:spacing w:line="240" w:lineRule="auto"/>
        <w:ind w:left="283" w:hanging="142"/>
        <w:jc w:val="both"/>
      </w:pPr>
      <w:r w:rsidRPr="00B33274">
        <w:t>Jsou výsledky srozumitelné včetně jednotek a relevantní nejistoty?</w:t>
      </w:r>
    </w:p>
    <w:p w14:paraId="0CA53042" w14:textId="77777777" w:rsidR="00C701BE" w:rsidRPr="00B33274" w:rsidRDefault="00000000" w:rsidP="00DA3257">
      <w:pPr>
        <w:pStyle w:val="Seznamsodrkami"/>
        <w:spacing w:line="240" w:lineRule="auto"/>
        <w:ind w:left="283" w:hanging="142"/>
        <w:jc w:val="both"/>
      </w:pPr>
      <w:r w:rsidRPr="00B33274">
        <w:t>Je vyznačeno, které činnosti byly v rozsahu akreditace a které nikoli?</w:t>
      </w:r>
    </w:p>
    <w:p w14:paraId="3838FDB6" w14:textId="77777777" w:rsidR="00C701BE" w:rsidRPr="00B33274" w:rsidRDefault="00000000" w:rsidP="00DA3257">
      <w:pPr>
        <w:pStyle w:val="Seznamsodrkami"/>
        <w:spacing w:line="240" w:lineRule="auto"/>
        <w:ind w:left="283" w:hanging="142"/>
        <w:jc w:val="both"/>
      </w:pPr>
      <w:r w:rsidRPr="00B33274">
        <w:t>Pokud protokol obsahuje výrok o shodě, je jasné kritérium a rozhodovací pravidlo?</w:t>
      </w:r>
    </w:p>
    <w:p w14:paraId="7D6A0F9F" w14:textId="77777777" w:rsidR="00C701BE" w:rsidRPr="00B33274" w:rsidRDefault="00000000" w:rsidP="00DA3257">
      <w:pPr>
        <w:pStyle w:val="Seznamsodrkami"/>
        <w:spacing w:line="240" w:lineRule="auto"/>
        <w:ind w:left="283" w:hanging="142"/>
        <w:jc w:val="both"/>
      </w:pPr>
      <w:r w:rsidRPr="00B33274">
        <w:t>Odpovídá závěr pouze tomu rozsahu, který zkouška skutečně prokazuje?</w:t>
      </w:r>
    </w:p>
    <w:p w14:paraId="68E6452A" w14:textId="77777777" w:rsidR="00C701BE" w:rsidRPr="00B33274" w:rsidRDefault="00000000" w:rsidP="00DA3257">
      <w:pPr>
        <w:spacing w:line="240" w:lineRule="auto"/>
        <w:jc w:val="both"/>
      </w:pPr>
      <w:r w:rsidRPr="00B33274">
        <w:t>Chybějící údaj řešte s laboratoří vydáním dohledatelného doplnění nebo opravy. Technik nesmí sám upravit cizí protokol tak, aby odpovídal potřebám zakázky. V interním vyhodnocení může připojit vlastní závěr, musí jej však od laboratorního výsledku zřetelně oddělit.</w:t>
      </w:r>
    </w:p>
    <w:p w14:paraId="64F84694" w14:textId="77777777" w:rsidR="00C701BE" w:rsidRPr="00B33274" w:rsidRDefault="00000000" w:rsidP="00DA3257">
      <w:pPr>
        <w:pStyle w:val="Nadpis1"/>
        <w:spacing w:before="0" w:line="240" w:lineRule="auto"/>
        <w:jc w:val="both"/>
      </w:pPr>
      <w:bookmarkStart w:id="63" w:name="_Toc243068417"/>
      <w:bookmarkStart w:id="64" w:name="_Toc243068651"/>
      <w:bookmarkStart w:id="65" w:name="_Toc243068774"/>
      <w:bookmarkStart w:id="66" w:name="_Toc243071041"/>
      <w:r w:rsidRPr="00B33274">
        <w:t>8 Posuzování shody a označení CE</w:t>
      </w:r>
      <w:bookmarkEnd w:id="63"/>
      <w:bookmarkEnd w:id="64"/>
      <w:bookmarkEnd w:id="65"/>
      <w:bookmarkEnd w:id="66"/>
    </w:p>
    <w:p w14:paraId="23B8924E" w14:textId="77777777" w:rsidR="00C701BE" w:rsidRPr="00B33274" w:rsidRDefault="00000000" w:rsidP="00DA3257">
      <w:pPr>
        <w:pStyle w:val="Nadpis2"/>
        <w:spacing w:before="0" w:line="240" w:lineRule="auto"/>
        <w:jc w:val="both"/>
      </w:pPr>
      <w:bookmarkStart w:id="67" w:name="_Toc243068652"/>
      <w:r w:rsidRPr="00B33274">
        <w:t>8.1 Nejprve určete právní režim</w:t>
      </w:r>
      <w:bookmarkEnd w:id="67"/>
    </w:p>
    <w:p w14:paraId="7AD17B72" w14:textId="77777777" w:rsidR="00C701BE" w:rsidRPr="00B33274" w:rsidRDefault="00000000" w:rsidP="00DA3257">
      <w:pPr>
        <w:spacing w:line="240" w:lineRule="auto"/>
        <w:jc w:val="both"/>
      </w:pPr>
      <w:r w:rsidRPr="00B33274">
        <w:t>Před zahájením posuzování popište výrobek, jeho účel, uživatele, prostředí a rizika. Určete všechny použitelné předpisy; jeden výrobek může podléhat několika současně. V českém prostředí jsou důležité zejména zákony č. 22/1997 Sb. a č. 90/2016 Sb., příslušná nařízení vlády a přímo použitelná nařízení EU. Výběr postupu závisí na výrobku a konkrétním předpisu. [4, 9]</w:t>
      </w:r>
    </w:p>
    <w:p w14:paraId="5179BEB2" w14:textId="77777777" w:rsidR="00C701BE" w:rsidRPr="00B33274" w:rsidRDefault="00000000" w:rsidP="00DA3257">
      <w:pPr>
        <w:spacing w:line="240" w:lineRule="auto"/>
        <w:jc w:val="both"/>
      </w:pPr>
      <w:r w:rsidRPr="00B33274">
        <w:t>Dodávání na trh a uvedení na trh nejsou totožné pojmy. Uvedení na trh je první dodání konkrétního výrobku na trh Unie; další pohyb v distribučním řetězci představuje další dodávání. Uvedení do provozu může být samostatně upravenou událostí. Při vlastní výrobě zařízení pro použití v podniku nelze automaticky předpokládat, že žádné povinnosti nevznikají. [5]</w:t>
      </w:r>
    </w:p>
    <w:p w14:paraId="46959D49" w14:textId="77777777" w:rsidR="00C701BE" w:rsidRPr="00B33274" w:rsidRDefault="00000000" w:rsidP="00DA3257">
      <w:pPr>
        <w:pStyle w:val="Nadpis2"/>
        <w:spacing w:before="0" w:line="240" w:lineRule="auto"/>
        <w:jc w:val="both"/>
      </w:pPr>
      <w:bookmarkStart w:id="68" w:name="_Toc243068653"/>
      <w:r w:rsidRPr="00B33274">
        <w:t>8.2 Kdo za co odpovídá</w:t>
      </w:r>
      <w:bookmarkEnd w:id="68"/>
    </w:p>
    <w:p w14:paraId="74BFE590" w14:textId="77777777" w:rsidR="00C701BE" w:rsidRPr="00B33274" w:rsidRDefault="00000000" w:rsidP="00DA3257">
      <w:pPr>
        <w:spacing w:line="240" w:lineRule="auto"/>
        <w:jc w:val="both"/>
      </w:pPr>
      <w:r w:rsidRPr="00B33274">
        <w:t>Výrobce odpovídá za splnění povinností, které mu příslušný režim ukládá, včetně technické dokumentace a požadovaného posouzení. Dovozce a distributor mají vlastní povinnosti; nejsou automaticky totožní s výrobcem. Ten, kdo výrobek uvádí pod vlastním jménem nebo jej významně upraví, může za podmínek příslušného předpisu převzít povinnosti výrobce. [5]</w:t>
      </w:r>
    </w:p>
    <w:p w14:paraId="00D6C2AC" w14:textId="77777777" w:rsidR="00C701BE" w:rsidRPr="00B33274" w:rsidRDefault="00000000" w:rsidP="00DA3257">
      <w:pPr>
        <w:spacing w:line="240" w:lineRule="auto"/>
        <w:jc w:val="both"/>
      </w:pPr>
      <w:r w:rsidRPr="00B33274">
        <w:t>Při nákupu proto zjišťujte skutečného výrobce a identifikaci výrobku, nikoli jen značku obchodníka. U úpravy zařízení zaznamenejte, co se změnilo a zda změna ovlivnila bezpečnost, vlastnosti nebo původní posouzení. Výměna funkčně odlišné součásti může vyžadovat více než běžný servisní záznam.</w:t>
      </w:r>
    </w:p>
    <w:p w14:paraId="49F6EF9D" w14:textId="77777777" w:rsidR="00C701BE" w:rsidRPr="00B33274" w:rsidRDefault="00000000" w:rsidP="00DA3257">
      <w:pPr>
        <w:pStyle w:val="Nadpis2"/>
        <w:spacing w:before="0" w:line="240" w:lineRule="auto"/>
        <w:jc w:val="both"/>
      </w:pPr>
      <w:bookmarkStart w:id="69" w:name="_Toc243068654"/>
      <w:r w:rsidRPr="00B33274">
        <w:t>8.3 Praktická posloupnost</w:t>
      </w:r>
      <w:bookmarkEnd w:id="69"/>
    </w:p>
    <w:p w14:paraId="21533D8B" w14:textId="77777777" w:rsidR="00C701BE" w:rsidRPr="00B33274" w:rsidRDefault="00000000" w:rsidP="00DA3257">
      <w:pPr>
        <w:pStyle w:val="Seznamsodrkami"/>
        <w:spacing w:line="240" w:lineRule="auto"/>
        <w:ind w:left="283" w:hanging="142"/>
        <w:jc w:val="both"/>
      </w:pPr>
      <w:r w:rsidRPr="00B33274">
        <w:t>Určete použitelné předpisy a požadavky pro zamýšlené použití.</w:t>
      </w:r>
    </w:p>
    <w:p w14:paraId="116CC4D5" w14:textId="77777777" w:rsidR="00C701BE" w:rsidRPr="00B33274" w:rsidRDefault="00000000" w:rsidP="00DA3257">
      <w:pPr>
        <w:pStyle w:val="Seznamsodrkami"/>
        <w:spacing w:line="240" w:lineRule="auto"/>
        <w:ind w:left="283" w:hanging="142"/>
        <w:jc w:val="both"/>
      </w:pPr>
      <w:r w:rsidRPr="00B33274">
        <w:t>Proveďte potřebné posouzení rizik a navrhněte technická opatření.</w:t>
      </w:r>
    </w:p>
    <w:p w14:paraId="14C7CFDC" w14:textId="77777777" w:rsidR="00C701BE" w:rsidRPr="00B33274" w:rsidRDefault="00000000" w:rsidP="00DA3257">
      <w:pPr>
        <w:pStyle w:val="Seznamsodrkami"/>
        <w:spacing w:line="240" w:lineRule="auto"/>
        <w:ind w:left="283" w:hanging="142"/>
        <w:jc w:val="both"/>
      </w:pPr>
      <w:r w:rsidRPr="00B33274">
        <w:t>Vyberte vhodné technické specifikace a ověřte status použitých norem.</w:t>
      </w:r>
    </w:p>
    <w:p w14:paraId="507DF267" w14:textId="77777777" w:rsidR="00C701BE" w:rsidRPr="00B33274" w:rsidRDefault="00000000" w:rsidP="00DA3257">
      <w:pPr>
        <w:pStyle w:val="Seznamsodrkami"/>
        <w:spacing w:line="240" w:lineRule="auto"/>
        <w:ind w:left="283" w:hanging="142"/>
        <w:jc w:val="both"/>
      </w:pPr>
      <w:r w:rsidRPr="00B33274">
        <w:t>Stanovte předepsaný postup a případnou účast oprávněné třetí strany.</w:t>
      </w:r>
    </w:p>
    <w:p w14:paraId="0AC93E33" w14:textId="77777777" w:rsidR="00C701BE" w:rsidRPr="00B33274" w:rsidRDefault="00000000" w:rsidP="00DA3257">
      <w:pPr>
        <w:pStyle w:val="Seznamsodrkami"/>
        <w:spacing w:line="240" w:lineRule="auto"/>
        <w:ind w:left="283" w:hanging="142"/>
        <w:jc w:val="both"/>
      </w:pPr>
      <w:r w:rsidRPr="00B33274">
        <w:t>Získejte důkazy ze zkoušek, výpočtů, kontrol a řízení výroby v potřebném rozsahu.</w:t>
      </w:r>
    </w:p>
    <w:p w14:paraId="6563E9C4" w14:textId="77777777" w:rsidR="00C701BE" w:rsidRPr="00B33274" w:rsidRDefault="00000000" w:rsidP="00DA3257">
      <w:pPr>
        <w:pStyle w:val="Seznamsodrkami"/>
        <w:spacing w:line="240" w:lineRule="auto"/>
        <w:ind w:left="283" w:hanging="142"/>
        <w:jc w:val="both"/>
      </w:pPr>
      <w:r w:rsidRPr="00B33274">
        <w:t>Zkompletujte technickou dokumentaci a vydejte požadované prohlášení nebo jiný dokument.</w:t>
      </w:r>
    </w:p>
    <w:p w14:paraId="450BE9BB" w14:textId="77777777" w:rsidR="00C701BE" w:rsidRPr="00B33274" w:rsidRDefault="00000000" w:rsidP="00DA3257">
      <w:pPr>
        <w:pStyle w:val="Seznamsodrkami"/>
        <w:spacing w:line="240" w:lineRule="auto"/>
        <w:ind w:left="283" w:hanging="142"/>
        <w:jc w:val="both"/>
      </w:pPr>
      <w:r w:rsidRPr="00B33274">
        <w:t>Připojte označení CE pouze tam, kde je vyžadováno; zajistěte identifikaci a informace pro uživatele.</w:t>
      </w:r>
    </w:p>
    <w:p w14:paraId="7512897D" w14:textId="77777777" w:rsidR="00C701BE" w:rsidRPr="00B33274" w:rsidRDefault="00000000" w:rsidP="00DA3257">
      <w:pPr>
        <w:pStyle w:val="Seznamsodrkami"/>
        <w:spacing w:line="240" w:lineRule="auto"/>
        <w:ind w:left="283" w:hanging="142"/>
        <w:jc w:val="both"/>
      </w:pPr>
      <w:r w:rsidRPr="00B33274">
        <w:t>Sledujte změny výrobku, výroby, požadavků a poznatků z provozu.</w:t>
      </w:r>
    </w:p>
    <w:p w14:paraId="63318974" w14:textId="77777777" w:rsidR="00C701BE" w:rsidRPr="00B33274" w:rsidRDefault="00000000" w:rsidP="00DA3257">
      <w:pPr>
        <w:spacing w:line="240" w:lineRule="auto"/>
        <w:jc w:val="both"/>
      </w:pPr>
      <w:r w:rsidRPr="00B33274">
        <w:lastRenderedPageBreak/>
        <w:t>Tato posloupnost je organizační pomůcka. Nenahrazuje konkrétní právní postup, který může stanovit další kroky, odlišné dokumenty nebo zvláštní účast třetí strany.</w:t>
      </w:r>
    </w:p>
    <w:p w14:paraId="7E730985" w14:textId="77777777" w:rsidR="00C701BE" w:rsidRPr="00B33274" w:rsidRDefault="00000000" w:rsidP="00DA3257">
      <w:pPr>
        <w:pStyle w:val="Nadpis2"/>
        <w:spacing w:before="0" w:line="240" w:lineRule="auto"/>
        <w:jc w:val="both"/>
      </w:pPr>
      <w:bookmarkStart w:id="70" w:name="_Toc243068655"/>
      <w:r w:rsidRPr="00B33274">
        <w:t>8.4 Co CE vypovídá</w:t>
      </w:r>
      <w:bookmarkEnd w:id="70"/>
    </w:p>
    <w:p w14:paraId="1E41201D" w14:textId="77777777" w:rsidR="00C701BE" w:rsidRPr="00B33274" w:rsidRDefault="00000000" w:rsidP="00DA3257">
      <w:pPr>
        <w:spacing w:line="240" w:lineRule="auto"/>
        <w:jc w:val="both"/>
      </w:pPr>
      <w:r w:rsidRPr="00B33274">
        <w:t>Označení CE vyjadřuje odpovědnost výrobce za shodu s příslušnými předpisy, které toto označení vyžadují. Není všeobecnou značkou jakosti, země původu ani zárukou vhodnosti pro jakékoli použití. Na výrobky mimo režim CE se nepřipojuje dobrovolně jako reklamní značka. Účast oznámeného subjektu je nutná jen tam, kde ji stanoví příslušný postup. [5]</w:t>
      </w:r>
    </w:p>
    <w:p w14:paraId="4379C87C" w14:textId="77777777" w:rsidR="00C701BE" w:rsidRPr="00B33274" w:rsidRDefault="00000000" w:rsidP="00DA3257">
      <w:pPr>
        <w:spacing w:line="240" w:lineRule="auto"/>
        <w:jc w:val="both"/>
      </w:pPr>
      <w:r w:rsidRPr="00B33274">
        <w:t>Při kontrole nespoléhejte pouze na grafiku značky. Důležitá je shoda identifikace výrobku s dokumenty a správný rozsah prohlášení i navazujících důkazů. Rozestup písmen sám o sobě nemůže potvrdit splnění právních požadavků. Sporný dokument prověřujte u jeho vydavatele a v příslušném registru.</w:t>
      </w:r>
    </w:p>
    <w:p w14:paraId="320D0F9E" w14:textId="77777777" w:rsidR="00C701BE" w:rsidRPr="00B33274" w:rsidRDefault="00000000" w:rsidP="00DA3257">
      <w:pPr>
        <w:pStyle w:val="Nadpis2"/>
        <w:spacing w:before="0" w:line="240" w:lineRule="auto"/>
        <w:jc w:val="both"/>
      </w:pPr>
      <w:bookmarkStart w:id="71" w:name="_Toc243068656"/>
      <w:r w:rsidRPr="00B33274">
        <w:t>8.5 Technická dokumentace</w:t>
      </w:r>
      <w:bookmarkEnd w:id="71"/>
    </w:p>
    <w:p w14:paraId="3A1D00AF" w14:textId="77777777" w:rsidR="00C701BE" w:rsidRPr="00B33274" w:rsidRDefault="00000000" w:rsidP="00DA3257">
      <w:pPr>
        <w:spacing w:line="240" w:lineRule="auto"/>
        <w:jc w:val="both"/>
      </w:pPr>
      <w:r w:rsidRPr="00B33274">
        <w:t>Dokumentace má umožnit vysvětlit konstrukci a doložit splnění požadavků. Její rozsah určuje konkrétní režim. Obvykle zahrnuje identifikaci a popis výrobku, výkresy, použité specifikace, posouzení rizik, výpočty a protokoly, informace o řízení výroby, návody a příslušná prohlášení. Doba uchování a způsob dostupnosti se ověřují podle daného předpisu; nelze je stanovit jednou lhůtou pro všechny výrobky.</w:t>
      </w:r>
    </w:p>
    <w:p w14:paraId="05AFFCB7" w14:textId="77777777" w:rsidR="00C701BE" w:rsidRPr="00B33274" w:rsidRDefault="00000000" w:rsidP="00DA3257">
      <w:pPr>
        <w:spacing w:line="240" w:lineRule="auto"/>
        <w:jc w:val="both"/>
      </w:pPr>
      <w:r w:rsidRPr="00B33274">
        <w:t>Důkazy propojte s konkrétní verzí konstrukce. Protokol ke staršímu provedení neprokazuje automaticky vlastnosti nové verze. U změn materiálu, dodavatele, softwaru nebo výrobního procesu určete, které původní výsledky zůstávají použitelné a co je nutné znovu ověřit.</w:t>
      </w:r>
    </w:p>
    <w:p w14:paraId="4B7EA25D" w14:textId="77777777" w:rsidR="00C701BE" w:rsidRPr="00B33274" w:rsidRDefault="00000000" w:rsidP="00DA3257">
      <w:pPr>
        <w:pStyle w:val="Nadpis1"/>
        <w:spacing w:before="0" w:line="240" w:lineRule="auto"/>
        <w:jc w:val="both"/>
      </w:pPr>
      <w:bookmarkStart w:id="72" w:name="_Toc243068418"/>
      <w:bookmarkStart w:id="73" w:name="_Toc243068657"/>
      <w:bookmarkStart w:id="74" w:name="_Toc243068775"/>
      <w:bookmarkStart w:id="75" w:name="_Toc243071042"/>
      <w:r w:rsidRPr="00B33274">
        <w:t>9 Stavební výrobky a obecná bezpečnost</w:t>
      </w:r>
      <w:bookmarkEnd w:id="72"/>
      <w:bookmarkEnd w:id="73"/>
      <w:bookmarkEnd w:id="74"/>
      <w:bookmarkEnd w:id="75"/>
    </w:p>
    <w:p w14:paraId="5427B83B" w14:textId="77777777" w:rsidR="00C701BE" w:rsidRPr="00B33274" w:rsidRDefault="00000000" w:rsidP="00DA3257">
      <w:pPr>
        <w:pStyle w:val="Nadpis2"/>
        <w:spacing w:before="0" w:line="240" w:lineRule="auto"/>
        <w:jc w:val="both"/>
      </w:pPr>
      <w:bookmarkStart w:id="76" w:name="_Toc243068658"/>
      <w:r w:rsidRPr="00B33274">
        <w:t>9.1 Zvláštnosti stavebních výrobků</w:t>
      </w:r>
      <w:bookmarkEnd w:id="76"/>
    </w:p>
    <w:p w14:paraId="12D37F3C" w14:textId="77777777" w:rsidR="00C701BE" w:rsidRPr="00B33274" w:rsidRDefault="00000000" w:rsidP="00DA3257">
      <w:pPr>
        <w:spacing w:line="240" w:lineRule="auto"/>
        <w:jc w:val="both"/>
      </w:pPr>
      <w:r w:rsidRPr="00B33274">
        <w:t>U stavebního výrobku je třeba rozlišit vlastnosti výrobku při uvedení na trh a vhodnost jeho použití v konkrétní stavbě. Ani správné označení CE neznamená, že výrobek vyhoví každému projektu, zatížení nebo prostředí. Projektant a přejímající technik musí porovnat deklarované vlastnosti s požadavky stavby.</w:t>
      </w:r>
    </w:p>
    <w:p w14:paraId="56C4E56E" w14:textId="77777777" w:rsidR="00C701BE" w:rsidRPr="00B33274" w:rsidRDefault="00000000" w:rsidP="00DA3257">
      <w:pPr>
        <w:spacing w:line="240" w:lineRule="auto"/>
        <w:jc w:val="both"/>
      </w:pPr>
      <w:r w:rsidRPr="00B33274">
        <w:t>K roku 2026 probíhá přechod mezi nařízením (EU) č. 305/2011 a nařízením (EU) 2024/3110. Přechod se uskutečňuje postupně podle skupin výrobků a příslušných technických specifikací. Nelze předpokládat, že všechny výrobky již přešly na nový režim. U konkrétní dodávky je nutné ověřit rozhodný rámec a související přechodná ustanovení. [10]</w:t>
      </w:r>
    </w:p>
    <w:p w14:paraId="5AA2957C" w14:textId="77777777" w:rsidR="00C701BE" w:rsidRPr="00B33274" w:rsidRDefault="00000000" w:rsidP="00DA3257">
      <w:pPr>
        <w:spacing w:line="240" w:lineRule="auto"/>
        <w:jc w:val="both"/>
      </w:pPr>
      <w:r w:rsidRPr="00B33274">
        <w:t>Pro výrobky dosud uváděné podle původního CPR je významné prohlášení o vlastnostech a předepsaný systém posuzování a ověřování stálosti vlastností. Nový rámec zavádí prohlášení o vlastnostech a shodě. Obecný požadavek na „certifikát CE“ nemusí odpovídat skutečně požadovanému dokumentu. Názvy a obsah dokladů určujte podle příslušného režimu. [10]</w:t>
      </w:r>
    </w:p>
    <w:p w14:paraId="2A4D9ECC" w14:textId="77777777" w:rsidR="00C701BE" w:rsidRPr="00B33274" w:rsidRDefault="00000000" w:rsidP="00DA3257">
      <w:pPr>
        <w:spacing w:line="240" w:lineRule="auto"/>
        <w:jc w:val="both"/>
      </w:pPr>
      <w:r w:rsidRPr="00B33274">
        <w:t>U vybraných výrobků mimo harmonizovanou oblast přichází v českém prostředí v úvahu národní postup. Nezaměňujte jej s evropským režimem CE. Příslušnou cestu ověřte v informačním portálu ÚNMZ a v aktuálních předpisech pro daný výrobek. [10]</w:t>
      </w:r>
    </w:p>
    <w:p w14:paraId="7ED1CF66" w14:textId="77777777" w:rsidR="00C701BE" w:rsidRPr="00B33274" w:rsidRDefault="00000000" w:rsidP="00DA3257">
      <w:pPr>
        <w:pStyle w:val="Nadpis2"/>
        <w:spacing w:before="0" w:line="240" w:lineRule="auto"/>
        <w:jc w:val="both"/>
      </w:pPr>
      <w:bookmarkStart w:id="77" w:name="_Toc243068659"/>
      <w:r w:rsidRPr="00B33274">
        <w:t>9.2 Přejímka na stavbě</w:t>
      </w:r>
      <w:bookmarkEnd w:id="77"/>
    </w:p>
    <w:p w14:paraId="520E6D58" w14:textId="77777777" w:rsidR="00C701BE" w:rsidRPr="00B33274" w:rsidRDefault="00000000" w:rsidP="00DA3257">
      <w:pPr>
        <w:spacing w:line="240" w:lineRule="auto"/>
        <w:jc w:val="both"/>
      </w:pPr>
      <w:r w:rsidRPr="00B33274">
        <w:t>Při dodávce ověřte identitu výrobku, šarži, neporušenost, skladování a dokumentaci. Porovnejte podstatné deklarované vlastnosti s projektem, nikoli pouze obchodní název. Zkontrolujte podmínky montáže, kompatibilitu spojů a požadované podklady pro převzetí. Pokud je určitá vlastnost nedeklarována, nelze chybějící údaj nahradit domněnkou, že označení CE zaručuje její potřebnou úroveň.</w:t>
      </w:r>
    </w:p>
    <w:p w14:paraId="0E85BB63" w14:textId="77777777" w:rsidR="00C701BE" w:rsidRPr="00B33274" w:rsidRDefault="00000000" w:rsidP="00DA3257">
      <w:pPr>
        <w:spacing w:line="240" w:lineRule="auto"/>
        <w:jc w:val="both"/>
      </w:pPr>
      <w:r w:rsidRPr="00B33274">
        <w:t>U potrubí například nestačí samotný jmenovitý rozměr. Podle účelu se prověřuje tlaková a teplotní použitelnost, materiál, tuhost, způsob spojování a další vlastnosti. U výrobků ve styku s pitnou vodou se samostatně řeší relevantní hygienické požadavky. Zaměnitelnost nabídnuté alternativy musí být doložena vlastnostmi, nikoli podobným vzhledem.</w:t>
      </w:r>
    </w:p>
    <w:p w14:paraId="3B728674" w14:textId="77777777" w:rsidR="00C701BE" w:rsidRPr="00B33274" w:rsidRDefault="00000000" w:rsidP="00DA3257">
      <w:pPr>
        <w:pStyle w:val="Nadpis2"/>
        <w:spacing w:before="0" w:line="240" w:lineRule="auto"/>
        <w:jc w:val="both"/>
      </w:pPr>
      <w:bookmarkStart w:id="78" w:name="_Toc243068660"/>
      <w:r w:rsidRPr="00B33274">
        <w:t>9.3 Obecná bezpečnost spotřebních výrobků</w:t>
      </w:r>
      <w:bookmarkEnd w:id="78"/>
    </w:p>
    <w:p w14:paraId="339CE08A" w14:textId="77777777" w:rsidR="00C701BE" w:rsidRPr="00B33274" w:rsidRDefault="00000000" w:rsidP="00DA3257">
      <w:pPr>
        <w:spacing w:line="240" w:lineRule="auto"/>
        <w:jc w:val="both"/>
      </w:pPr>
      <w:r w:rsidRPr="00B33274">
        <w:t>Nařízení (EU) 2023/988 o obecné bezpečnosti výrobků se používá od 13. prosince 2024. Upravuje bezpečnost spotřebních výrobků v rozsahu své působnosti; jeho vztah ke zvláštním harmonizačním předpisům je nutné posoudit podle konkrétního výrobku a rizika. Historický odkaz na směrnici 2001/95/ES tedy není dostatečným současným základem. [11]</w:t>
      </w:r>
    </w:p>
    <w:p w14:paraId="245EE427" w14:textId="77777777" w:rsidR="00C701BE" w:rsidRPr="00B33274" w:rsidRDefault="00000000" w:rsidP="00DA3257">
      <w:pPr>
        <w:spacing w:line="240" w:lineRule="auto"/>
        <w:jc w:val="both"/>
      </w:pPr>
      <w:r w:rsidRPr="00B33274">
        <w:lastRenderedPageBreak/>
        <w:t>Pro technika je podstatné uvažovat běžné i rozumně předvídatelné použití, identifikovatelnost výrobku, srozumitelné informace a postup při zjištění nebezpečí. Konkrétní povinnosti výrobce, dovozce a distributora se ověřují podle jejich role. Bezpečnost se neposuzuje jen při prvním kusu; nové poznatky z reklamací nebo provozu mohou vyvolat potřebu opatření.</w:t>
      </w:r>
    </w:p>
    <w:p w14:paraId="676373B9" w14:textId="77777777" w:rsidR="00C701BE" w:rsidRPr="00B33274" w:rsidRDefault="00000000" w:rsidP="00DA3257">
      <w:pPr>
        <w:pStyle w:val="Nadpis1"/>
        <w:spacing w:before="0" w:line="240" w:lineRule="auto"/>
        <w:jc w:val="both"/>
      </w:pPr>
      <w:bookmarkStart w:id="79" w:name="_Toc243068419"/>
      <w:bookmarkStart w:id="80" w:name="_Toc243068661"/>
      <w:bookmarkStart w:id="81" w:name="_Toc243068776"/>
      <w:bookmarkStart w:id="82" w:name="_Toc243071043"/>
      <w:r w:rsidRPr="00B33274">
        <w:t>10 Přejímka dodávky a řízení neshod</w:t>
      </w:r>
      <w:bookmarkEnd w:id="79"/>
      <w:bookmarkEnd w:id="80"/>
      <w:bookmarkEnd w:id="81"/>
      <w:bookmarkEnd w:id="82"/>
    </w:p>
    <w:p w14:paraId="6D5B6BF4" w14:textId="77777777" w:rsidR="00C701BE" w:rsidRPr="00B33274" w:rsidRDefault="00000000" w:rsidP="00DA3257">
      <w:pPr>
        <w:pStyle w:val="Nadpis2"/>
        <w:spacing w:before="0" w:line="240" w:lineRule="auto"/>
        <w:jc w:val="both"/>
      </w:pPr>
      <w:bookmarkStart w:id="83" w:name="_Toc243068662"/>
      <w:r w:rsidRPr="00B33274">
        <w:t>10.1 Požadavky zapište již do objednávky</w:t>
      </w:r>
      <w:bookmarkEnd w:id="83"/>
    </w:p>
    <w:p w14:paraId="6749511F" w14:textId="77777777" w:rsidR="00C701BE" w:rsidRPr="00B33274" w:rsidRDefault="00000000" w:rsidP="00DA3257">
      <w:pPr>
        <w:spacing w:line="240" w:lineRule="auto"/>
        <w:jc w:val="both"/>
      </w:pPr>
      <w:r w:rsidRPr="00B33274">
        <w:t>Objednávka má určit výrobek, použití, požadované parametry, relevantní normy, rozsah dokladů a přejímací podmínky. U důležitého zařízení stanovte také podmínky montáže, zkoušek na místě, zaškolení a předání dokumentace. Dodatečný požadavek na zkoušku, s níž nabídka nepočítala, může vést ke sporu o cenu a termín.</w:t>
      </w:r>
    </w:p>
    <w:p w14:paraId="02B9F83E" w14:textId="77777777" w:rsidR="00C701BE" w:rsidRPr="00B33274" w:rsidRDefault="00000000" w:rsidP="00DA3257">
      <w:pPr>
        <w:spacing w:line="240" w:lineRule="auto"/>
        <w:jc w:val="both"/>
      </w:pPr>
      <w:r w:rsidRPr="00B33274">
        <w:t>Přejímka může mít několik stupňů: kontrolu dokumentace, kontrolu při dodání, funkční ověření po instalaci a zkoušku v reálném provozu. Každý stupeň musí mít vlastní kritéria. Výsledek tovární zkoušky například neprokazuje, že zařízení nebylo při dopravě poškozeno nebo že bylo správně zapojeno.</w:t>
      </w:r>
    </w:p>
    <w:p w14:paraId="33751E2B" w14:textId="77777777" w:rsidR="00C701BE" w:rsidRPr="00B33274" w:rsidRDefault="00000000" w:rsidP="00DA3257">
      <w:pPr>
        <w:pStyle w:val="Nadpis2"/>
        <w:spacing w:before="0" w:line="240" w:lineRule="auto"/>
        <w:jc w:val="both"/>
      </w:pPr>
      <w:bookmarkStart w:id="84" w:name="_Toc243068663"/>
      <w:r w:rsidRPr="00B33274">
        <w:t>10.2 Postup při neshodě</w:t>
      </w:r>
      <w:bookmarkEnd w:id="84"/>
    </w:p>
    <w:p w14:paraId="2F132194" w14:textId="77777777" w:rsidR="00C701BE" w:rsidRPr="00B33274" w:rsidRDefault="00000000" w:rsidP="00DA3257">
      <w:pPr>
        <w:spacing w:line="240" w:lineRule="auto"/>
        <w:jc w:val="both"/>
      </w:pPr>
      <w:r w:rsidRPr="00B33274">
        <w:t>Nejprve zabraňte nechtěnému použití nebo expedici. Neshodný kus nebo dávku identifikujte a zachovejte doklady. Poté určete rozsah problému: jde o jeden kus, celou šarži, chybné měření, nebo širší závadu procesu? Teprve potom rozhodněte o opravě, přepracování, vrácení nebo jiném přípustném řešení.</w:t>
      </w:r>
    </w:p>
    <w:p w14:paraId="0BFBFFF6" w14:textId="77777777" w:rsidR="00C701BE" w:rsidRPr="00B33274" w:rsidRDefault="00000000" w:rsidP="00DA3257">
      <w:pPr>
        <w:spacing w:line="240" w:lineRule="auto"/>
        <w:jc w:val="both"/>
      </w:pPr>
      <w:r w:rsidRPr="00B33274">
        <w:t>Odchylka schválená zákazníkem nemůže odstranit povinnost splnit právní požadavky. Při možné bezpečnostní závadě musí následovat posouzení rizika a příslušné opatření podle daného režimu. Pojmy stažení z distribučního řetězce a zpětné převzetí od uživatelů označují odlišné situace; postup musí odpovídat skutečnému dosahu problému. [5, 11]</w:t>
      </w:r>
    </w:p>
    <w:p w14:paraId="5D9747FF" w14:textId="77777777" w:rsidR="00C701BE" w:rsidRPr="00B33274" w:rsidRDefault="00000000" w:rsidP="00DA3257">
      <w:pPr>
        <w:pStyle w:val="Nadpis2"/>
        <w:spacing w:before="0" w:line="240" w:lineRule="auto"/>
        <w:jc w:val="both"/>
      </w:pPr>
      <w:bookmarkStart w:id="85" w:name="_Toc243068664"/>
      <w:r w:rsidRPr="00B33274">
        <w:t>10.3 Když nevyhoví měřidlo</w:t>
      </w:r>
      <w:bookmarkEnd w:id="85"/>
    </w:p>
    <w:p w14:paraId="0FB1F45B" w14:textId="77777777" w:rsidR="00C701BE" w:rsidRPr="00B33274" w:rsidRDefault="00000000" w:rsidP="00DA3257">
      <w:pPr>
        <w:spacing w:line="240" w:lineRule="auto"/>
        <w:jc w:val="both"/>
      </w:pPr>
      <w:r w:rsidRPr="00B33274">
        <w:t>Zjistí-li kalibrace nepřijatelnou odchylku, nestačí přístroj opravit. Vyhodnoťte výsledky, které s ním byly získány od posledního doloženého vyhovujícího stavu. Prověřte velikost a směr chyby, význam pro dřívější rozhodnutí a dotčené zakázky. Podle rizika může být nutné nové měření, informování odběratele nebo zastavení dodávky.</w:t>
      </w:r>
    </w:p>
    <w:p w14:paraId="38F7FE0F" w14:textId="77777777" w:rsidR="00C701BE" w:rsidRPr="00B33274" w:rsidRDefault="00000000" w:rsidP="00DA3257">
      <w:pPr>
        <w:spacing w:line="240" w:lineRule="auto"/>
        <w:jc w:val="both"/>
      </w:pPr>
      <w:r w:rsidRPr="00B33274">
        <w:t>Nápravné opatření musí řešit příčinu. Výměna poškozeného snímače odstraní okamžitou závadu, ale nezabrání opakování, pokud příčinou bylo trvalé přetěžování. Účinnost opatření se následně ověřuje v provozu a podle výsledků se upravuje kontrolní plán.</w:t>
      </w:r>
    </w:p>
    <w:p w14:paraId="1CDA455E" w14:textId="77777777" w:rsidR="00C701BE" w:rsidRPr="00B33274" w:rsidRDefault="00000000" w:rsidP="00DA3257">
      <w:pPr>
        <w:pStyle w:val="Nadpis1"/>
        <w:spacing w:before="0" w:line="240" w:lineRule="auto"/>
        <w:jc w:val="both"/>
      </w:pPr>
      <w:bookmarkStart w:id="86" w:name="_Toc243068420"/>
      <w:bookmarkStart w:id="87" w:name="_Toc243068665"/>
      <w:bookmarkStart w:id="88" w:name="_Toc243068777"/>
      <w:bookmarkStart w:id="89" w:name="_Toc243071044"/>
      <w:r w:rsidRPr="00B33274">
        <w:t>11 Pracovní příklady</w:t>
      </w:r>
      <w:bookmarkEnd w:id="86"/>
      <w:bookmarkEnd w:id="87"/>
      <w:bookmarkEnd w:id="88"/>
      <w:bookmarkEnd w:id="89"/>
    </w:p>
    <w:p w14:paraId="7CA3D84C" w14:textId="77777777" w:rsidR="00C701BE" w:rsidRPr="00B33274" w:rsidRDefault="00000000" w:rsidP="00DA3257">
      <w:pPr>
        <w:pStyle w:val="Nadpis2"/>
        <w:spacing w:before="0" w:line="240" w:lineRule="auto"/>
        <w:jc w:val="both"/>
      </w:pPr>
      <w:bookmarkStart w:id="90" w:name="_Toc243068666"/>
      <w:r w:rsidRPr="00B33274">
        <w:t>11.1 Tlakoměr pro provozní kontrolu</w:t>
      </w:r>
      <w:bookmarkEnd w:id="90"/>
    </w:p>
    <w:p w14:paraId="34ADE1CF" w14:textId="77777777" w:rsidR="00C701BE" w:rsidRPr="00B33274" w:rsidRDefault="00000000" w:rsidP="00DA3257">
      <w:pPr>
        <w:spacing w:line="240" w:lineRule="auto"/>
        <w:jc w:val="both"/>
      </w:pPr>
      <w:r w:rsidRPr="00B33274">
        <w:t xml:space="preserve">Technik má kontrolovat proces v okolí 0,60 </w:t>
      </w:r>
      <w:proofErr w:type="spellStart"/>
      <w:r w:rsidRPr="00B33274">
        <w:t>MPa</w:t>
      </w:r>
      <w:proofErr w:type="spellEnd"/>
      <w:r w:rsidRPr="00B33274">
        <w:t>. Nejprve určí požadovanou nejistotu, zda jde o přetlak a zda přístroj slouží pouze ke sledování, nebo také k bezpečnostní funkci. Zvolí rozsah, odolnost a odezvu podle podmínek. Kalibraci objedná v bodech odpovídajících skutečnému použití, nikoli pouze na koncích stupnice.</w:t>
      </w:r>
    </w:p>
    <w:p w14:paraId="0DBC81F7" w14:textId="77777777" w:rsidR="00C701BE" w:rsidRPr="00B33274" w:rsidRDefault="00000000" w:rsidP="00DA3257">
      <w:pPr>
        <w:spacing w:line="240" w:lineRule="auto"/>
        <w:jc w:val="both"/>
      </w:pPr>
      <w:r w:rsidRPr="00B33274">
        <w:t>Po převzetí listu posoudí zjištěné odchylky a nejistoty. Pokud je použitelná korekce, musí být zajištěno její správné uplatnění. Interval další kalibrace stanoví podle rizika a stability. Pro bezpečnostní funkci navíc prověří požadavky na celý řetězec včetně čidla, vyhodnocení a akčního členu; samotná kalibrace tlakoměru funkci systému nepotvrzuje.</w:t>
      </w:r>
    </w:p>
    <w:p w14:paraId="13D2AA50" w14:textId="77777777" w:rsidR="00C701BE" w:rsidRPr="00B33274" w:rsidRDefault="00000000" w:rsidP="00DA3257">
      <w:pPr>
        <w:pStyle w:val="Nadpis2"/>
        <w:spacing w:before="0" w:line="240" w:lineRule="auto"/>
        <w:jc w:val="both"/>
      </w:pPr>
      <w:bookmarkStart w:id="91" w:name="_Toc243068667"/>
      <w:r w:rsidRPr="00B33274">
        <w:t>11.2 Dodávka armatur</w:t>
      </w:r>
      <w:bookmarkEnd w:id="91"/>
    </w:p>
    <w:p w14:paraId="13DC80C7" w14:textId="77777777" w:rsidR="00C701BE" w:rsidRPr="00B33274" w:rsidRDefault="00000000" w:rsidP="00DA3257">
      <w:pPr>
        <w:spacing w:line="240" w:lineRule="auto"/>
        <w:jc w:val="both"/>
      </w:pPr>
      <w:r w:rsidRPr="00B33274">
        <w:t>Nabídka uvádí pouze typ, dimenzi a označení CE. Technik si vyžádá údaje o médiu, tlaku, teplotě, materiálu a provedení připojení. Určí právní režim a požadované doklady. Pokud se požaduje těsnost podle určité metody, sjedná její podmínky i přípustný výsledek. Zkouška pevnosti a zkouška těsnosti nemusí ověřovat totožnou vlastnost.</w:t>
      </w:r>
    </w:p>
    <w:p w14:paraId="0D45113C" w14:textId="77777777" w:rsidR="00C701BE" w:rsidRPr="00B33274" w:rsidRDefault="00000000" w:rsidP="00DA3257">
      <w:pPr>
        <w:spacing w:line="240" w:lineRule="auto"/>
        <w:jc w:val="both"/>
      </w:pPr>
      <w:r w:rsidRPr="00B33274">
        <w:t>Při přejímce porovná skutečné značení s dokumenty a vzorky s dodávkou. Po instalaci provede předepsané ověření soustavy. Výrobkový protokol, montážní záznam a zkouška celku se uloží pod společné označení zařízení, aby bylo možné později vysvětlit, co bylo ověřeno ve výrobě a co na místě.</w:t>
      </w:r>
    </w:p>
    <w:p w14:paraId="2DB2F474" w14:textId="77777777" w:rsidR="00C701BE" w:rsidRPr="00B33274" w:rsidRDefault="00000000" w:rsidP="00DA3257">
      <w:pPr>
        <w:pStyle w:val="Nadpis2"/>
        <w:spacing w:before="0" w:line="240" w:lineRule="auto"/>
        <w:jc w:val="both"/>
      </w:pPr>
      <w:bookmarkStart w:id="92" w:name="_Toc243068668"/>
      <w:r w:rsidRPr="00B33274">
        <w:lastRenderedPageBreak/>
        <w:t>11.3 Rozbor vody</w:t>
      </w:r>
      <w:bookmarkEnd w:id="92"/>
    </w:p>
    <w:p w14:paraId="4558CED2" w14:textId="77777777" w:rsidR="00C701BE" w:rsidRPr="00B33274" w:rsidRDefault="00000000" w:rsidP="00DA3257">
      <w:pPr>
        <w:spacing w:line="240" w:lineRule="auto"/>
        <w:jc w:val="both"/>
      </w:pPr>
      <w:r w:rsidRPr="00B33274">
        <w:t>Zadavatel potřebuje zjistit kvalitu vody v určeném místě. Před objednáním upřesní účel, sledované ukazatele, požadované meze stanovitelnosti a příslušná kritéria. S laboratoří dohodne odběr, nádoby, konzervaci, dopravu a čas do zpracování. Ověří rozsah akreditace pro vzorkování i analýzu tam, kde jej potřebuje.</w:t>
      </w:r>
    </w:p>
    <w:p w14:paraId="7B032F78" w14:textId="77777777" w:rsidR="00C701BE" w:rsidRPr="00B33274" w:rsidRDefault="00000000" w:rsidP="00DA3257">
      <w:pPr>
        <w:spacing w:line="240" w:lineRule="auto"/>
        <w:jc w:val="both"/>
      </w:pPr>
      <w:r w:rsidRPr="00B33274">
        <w:t>Při hodnocení rozliší výsledek konkrétního vzorku od závěru o dlouhodobé kvalitě zdroje. Údaj pod mezí stanovitelnosti není totéž jako nulová koncentrace. Neobvyklý výsledek musí být posouzen s ohledem na místo a podmínky odběru, nejistotu a možnost kontaminace. Kontrolní odběr nenahrazuje povinnost řešit již zjištěné riziko.</w:t>
      </w:r>
    </w:p>
    <w:p w14:paraId="4440FEFC" w14:textId="77777777" w:rsidR="00C701BE" w:rsidRPr="00B33274" w:rsidRDefault="00000000" w:rsidP="00DA3257">
      <w:pPr>
        <w:pStyle w:val="Nadpis1"/>
        <w:spacing w:before="0" w:line="240" w:lineRule="auto"/>
        <w:jc w:val="both"/>
      </w:pPr>
      <w:bookmarkStart w:id="93" w:name="_Toc243068421"/>
      <w:bookmarkStart w:id="94" w:name="_Toc243068669"/>
      <w:bookmarkStart w:id="95" w:name="_Toc243068778"/>
      <w:bookmarkStart w:id="96" w:name="_Toc243071045"/>
      <w:r w:rsidRPr="00B33274">
        <w:t>12 Kontrolní seznamy a vzory evidence</w:t>
      </w:r>
      <w:bookmarkEnd w:id="93"/>
      <w:bookmarkEnd w:id="94"/>
      <w:bookmarkEnd w:id="95"/>
      <w:bookmarkEnd w:id="96"/>
    </w:p>
    <w:p w14:paraId="0C82F513" w14:textId="77777777" w:rsidR="00C701BE" w:rsidRPr="00B33274" w:rsidRDefault="00000000" w:rsidP="00DA3257">
      <w:pPr>
        <w:pStyle w:val="Nadpis2"/>
        <w:spacing w:before="0" w:line="240" w:lineRule="auto"/>
        <w:jc w:val="both"/>
      </w:pPr>
      <w:bookmarkStart w:id="97" w:name="_Toc243068670"/>
      <w:r w:rsidRPr="00B33274">
        <w:t>12.1 Před zahájením technického úkolu</w:t>
      </w:r>
      <w:bookmarkEnd w:id="97"/>
    </w:p>
    <w:p w14:paraId="1700801E" w14:textId="77777777" w:rsidR="00C701BE" w:rsidRPr="00B33274" w:rsidRDefault="00000000" w:rsidP="00DA3257">
      <w:pPr>
        <w:pStyle w:val="Seznamsodrkami"/>
        <w:spacing w:line="240" w:lineRule="auto"/>
        <w:ind w:left="283" w:hanging="142"/>
        <w:jc w:val="both"/>
      </w:pPr>
      <w:r w:rsidRPr="00B33274">
        <w:t>Je jednoznačně popsán účel, prostředí a požadovaná životnost?</w:t>
      </w:r>
    </w:p>
    <w:p w14:paraId="093FCACE" w14:textId="77777777" w:rsidR="00C701BE" w:rsidRPr="00B33274" w:rsidRDefault="00000000" w:rsidP="00DA3257">
      <w:pPr>
        <w:pStyle w:val="Seznamsodrkami"/>
        <w:spacing w:line="240" w:lineRule="auto"/>
        <w:ind w:left="283" w:hanging="142"/>
        <w:jc w:val="both"/>
      </w:pPr>
      <w:r w:rsidRPr="00B33274">
        <w:t>Jsou určeny právní požadavky a relevantní technické normy včetně vydání?</w:t>
      </w:r>
    </w:p>
    <w:p w14:paraId="6F53F462" w14:textId="77777777" w:rsidR="00C701BE" w:rsidRPr="00B33274" w:rsidRDefault="00000000" w:rsidP="00DA3257">
      <w:pPr>
        <w:pStyle w:val="Seznamsodrkami"/>
        <w:spacing w:line="240" w:lineRule="auto"/>
        <w:ind w:left="283" w:hanging="142"/>
        <w:jc w:val="both"/>
      </w:pPr>
      <w:r w:rsidRPr="00B33274">
        <w:t>Má každý důležitý požadavek metodu ověření a kritérium přijetí?</w:t>
      </w:r>
    </w:p>
    <w:p w14:paraId="02D3529C" w14:textId="77777777" w:rsidR="00C701BE" w:rsidRPr="00B33274" w:rsidRDefault="00000000" w:rsidP="00DA3257">
      <w:pPr>
        <w:pStyle w:val="Seznamsodrkami"/>
        <w:spacing w:line="240" w:lineRule="auto"/>
        <w:ind w:left="283" w:hanging="142"/>
        <w:jc w:val="both"/>
      </w:pPr>
      <w:r w:rsidRPr="00B33274">
        <w:t>Jsou dostupná způsobilá měřidla a potřebné odborné kapacity?</w:t>
      </w:r>
    </w:p>
    <w:p w14:paraId="0014D9A8" w14:textId="77777777" w:rsidR="00C701BE" w:rsidRPr="00B33274" w:rsidRDefault="00000000" w:rsidP="00DA3257">
      <w:pPr>
        <w:pStyle w:val="Seznamsodrkami"/>
        <w:spacing w:line="240" w:lineRule="auto"/>
        <w:ind w:left="283" w:hanging="142"/>
        <w:jc w:val="both"/>
      </w:pPr>
      <w:r w:rsidRPr="00B33274">
        <w:t>Je předem určeno rozhodovací pravidlo pro hraniční výsledky?</w:t>
      </w:r>
    </w:p>
    <w:p w14:paraId="3AEEB13D" w14:textId="77777777" w:rsidR="00C701BE" w:rsidRPr="00B33274" w:rsidRDefault="00000000" w:rsidP="00DA3257">
      <w:pPr>
        <w:pStyle w:val="Seznamsodrkami"/>
        <w:spacing w:line="240" w:lineRule="auto"/>
        <w:ind w:left="283" w:hanging="142"/>
        <w:jc w:val="both"/>
      </w:pPr>
      <w:r w:rsidRPr="00B33274">
        <w:t>Je jasné, kdo schvaluje změny a kdo může uvolnit výrobek nebo dodávku?</w:t>
      </w:r>
    </w:p>
    <w:p w14:paraId="72124C44" w14:textId="77777777" w:rsidR="00C701BE" w:rsidRPr="00B33274" w:rsidRDefault="00000000" w:rsidP="00DA3257">
      <w:pPr>
        <w:pStyle w:val="Nadpis2"/>
        <w:spacing w:before="0" w:line="240" w:lineRule="auto"/>
        <w:jc w:val="both"/>
      </w:pPr>
      <w:bookmarkStart w:id="98" w:name="_Toc243068671"/>
      <w:r w:rsidRPr="00B33274">
        <w:t>12.2 Vzor zadání zkoušky</w:t>
      </w:r>
      <w:bookmarkEnd w:id="98"/>
    </w:p>
    <w:p w14:paraId="4304B72D" w14:textId="77777777" w:rsidR="00C701BE" w:rsidRPr="00B33274" w:rsidRDefault="00000000" w:rsidP="00DA3257">
      <w:pPr>
        <w:spacing w:line="240" w:lineRule="auto"/>
        <w:jc w:val="both"/>
      </w:pPr>
      <w:r w:rsidRPr="00B33274">
        <w:t>Zadání má obsahovat identifikaci objednatele a kontaktní osoby, účel zkoušky, popis výrobku a konfigurace, identifikaci vzorků a způsob jejich odběru. Následuje požadovaná metoda s vydáním, rozsah zkoušení, požadavek na akreditovaný výstup a případné zvláštní oprávnění pracoviště. Samostatně se uvedou kritéria a dohodnuté rozhodovací pravidlo, pokud se objednává výrok o shodě.</w:t>
      </w:r>
    </w:p>
    <w:p w14:paraId="26F41789" w14:textId="77777777" w:rsidR="00C701BE" w:rsidRPr="00B33274" w:rsidRDefault="00000000" w:rsidP="00DA3257">
      <w:pPr>
        <w:spacing w:line="240" w:lineRule="auto"/>
        <w:jc w:val="both"/>
      </w:pPr>
      <w:r w:rsidRPr="00B33274">
        <w:t>Dále se sjedná nakládání se vzorky, povolování odchylek, externě zajišťované úkony, termín, způsob předání dat a postup při nevyhovujícím výsledku. U nezvyklého úkolu musí laboratoř před přijetím objednávky potvrdit, že zadání rozumí a dokáže je splnit.</w:t>
      </w:r>
    </w:p>
    <w:p w14:paraId="7D37A29B" w14:textId="77777777" w:rsidR="00C701BE" w:rsidRPr="00B33274" w:rsidRDefault="00000000" w:rsidP="00DA3257">
      <w:pPr>
        <w:pStyle w:val="Nadpis2"/>
        <w:spacing w:before="0" w:line="240" w:lineRule="auto"/>
        <w:jc w:val="both"/>
      </w:pPr>
      <w:bookmarkStart w:id="99" w:name="_Toc243068672"/>
      <w:r w:rsidRPr="00B33274">
        <w:t>12.3 Matice požadavků a důkazů</w:t>
      </w:r>
      <w:bookmarkEnd w:id="99"/>
    </w:p>
    <w:tbl>
      <w:tblPr>
        <w:tblStyle w:val="Mkatabulky"/>
        <w:tblW w:w="9300" w:type="dxa"/>
        <w:tblLayout w:type="fixed"/>
        <w:tblLook w:val="04A0" w:firstRow="1" w:lastRow="0" w:firstColumn="1" w:lastColumn="0" w:noHBand="0" w:noVBand="1"/>
      </w:tblPr>
      <w:tblGrid>
        <w:gridCol w:w="704"/>
        <w:gridCol w:w="2410"/>
        <w:gridCol w:w="1984"/>
        <w:gridCol w:w="1985"/>
        <w:gridCol w:w="2217"/>
      </w:tblGrid>
      <w:tr w:rsidR="00C701BE" w:rsidRPr="000021FE" w14:paraId="2E0F9541" w14:textId="77777777" w:rsidTr="000021FE">
        <w:trPr>
          <w:cantSplit/>
          <w:tblHeader/>
        </w:trPr>
        <w:tc>
          <w:tcPr>
            <w:tcW w:w="704" w:type="dxa"/>
          </w:tcPr>
          <w:p w14:paraId="5A660B38" w14:textId="77777777" w:rsidR="00C701BE" w:rsidRPr="000021FE" w:rsidRDefault="00000000" w:rsidP="000021FE">
            <w:pPr>
              <w:spacing w:line="240" w:lineRule="auto"/>
            </w:pPr>
            <w:r w:rsidRPr="000021FE">
              <w:rPr>
                <w:b/>
              </w:rPr>
              <w:t>ID</w:t>
            </w:r>
          </w:p>
        </w:tc>
        <w:tc>
          <w:tcPr>
            <w:tcW w:w="2410" w:type="dxa"/>
          </w:tcPr>
          <w:p w14:paraId="17C94760" w14:textId="77777777" w:rsidR="00C701BE" w:rsidRPr="000021FE" w:rsidRDefault="00000000" w:rsidP="000021FE">
            <w:pPr>
              <w:spacing w:line="240" w:lineRule="auto"/>
            </w:pPr>
            <w:r w:rsidRPr="000021FE">
              <w:rPr>
                <w:b/>
              </w:rPr>
              <w:t>Zdroj požadavku</w:t>
            </w:r>
          </w:p>
        </w:tc>
        <w:tc>
          <w:tcPr>
            <w:tcW w:w="1984" w:type="dxa"/>
          </w:tcPr>
          <w:p w14:paraId="1FC3F429" w14:textId="77777777" w:rsidR="00C701BE" w:rsidRPr="000021FE" w:rsidRDefault="00000000" w:rsidP="000021FE">
            <w:pPr>
              <w:spacing w:line="240" w:lineRule="auto"/>
            </w:pPr>
            <w:r w:rsidRPr="000021FE">
              <w:rPr>
                <w:b/>
              </w:rPr>
              <w:t>Ověření</w:t>
            </w:r>
          </w:p>
        </w:tc>
        <w:tc>
          <w:tcPr>
            <w:tcW w:w="1985" w:type="dxa"/>
          </w:tcPr>
          <w:p w14:paraId="3B7A8AE8" w14:textId="77777777" w:rsidR="00C701BE" w:rsidRPr="000021FE" w:rsidRDefault="00000000" w:rsidP="000021FE">
            <w:pPr>
              <w:spacing w:line="240" w:lineRule="auto"/>
            </w:pPr>
            <w:r w:rsidRPr="000021FE">
              <w:rPr>
                <w:b/>
              </w:rPr>
              <w:t>Kritérium</w:t>
            </w:r>
          </w:p>
        </w:tc>
        <w:tc>
          <w:tcPr>
            <w:tcW w:w="2217" w:type="dxa"/>
          </w:tcPr>
          <w:p w14:paraId="672FC118" w14:textId="77777777" w:rsidR="00C701BE" w:rsidRPr="000021FE" w:rsidRDefault="00000000" w:rsidP="000021FE">
            <w:pPr>
              <w:spacing w:line="240" w:lineRule="auto"/>
            </w:pPr>
            <w:r w:rsidRPr="000021FE">
              <w:rPr>
                <w:b/>
              </w:rPr>
              <w:t>Důkaz a stav</w:t>
            </w:r>
          </w:p>
        </w:tc>
      </w:tr>
      <w:tr w:rsidR="00C701BE" w:rsidRPr="000021FE" w14:paraId="637048F3" w14:textId="77777777" w:rsidTr="000021FE">
        <w:trPr>
          <w:cantSplit/>
        </w:trPr>
        <w:tc>
          <w:tcPr>
            <w:tcW w:w="704" w:type="dxa"/>
          </w:tcPr>
          <w:p w14:paraId="26DDA8CB" w14:textId="77777777" w:rsidR="00C701BE" w:rsidRPr="000021FE" w:rsidRDefault="00000000" w:rsidP="000021FE">
            <w:pPr>
              <w:spacing w:line="240" w:lineRule="auto"/>
            </w:pPr>
            <w:r w:rsidRPr="000021FE">
              <w:t>P01</w:t>
            </w:r>
          </w:p>
        </w:tc>
        <w:tc>
          <w:tcPr>
            <w:tcW w:w="2410" w:type="dxa"/>
          </w:tcPr>
          <w:p w14:paraId="20A146D8" w14:textId="77777777" w:rsidR="00C701BE" w:rsidRPr="000021FE" w:rsidRDefault="00000000" w:rsidP="000021FE">
            <w:pPr>
              <w:spacing w:line="240" w:lineRule="auto"/>
            </w:pPr>
            <w:r w:rsidRPr="000021FE">
              <w:t>Výkres a jeho revize</w:t>
            </w:r>
          </w:p>
        </w:tc>
        <w:tc>
          <w:tcPr>
            <w:tcW w:w="1984" w:type="dxa"/>
          </w:tcPr>
          <w:p w14:paraId="662790CD" w14:textId="77777777" w:rsidR="00C701BE" w:rsidRPr="000021FE" w:rsidRDefault="00000000" w:rsidP="000021FE">
            <w:pPr>
              <w:spacing w:line="240" w:lineRule="auto"/>
            </w:pPr>
            <w:r w:rsidRPr="000021FE">
              <w:t>Rozměrové měření</w:t>
            </w:r>
          </w:p>
        </w:tc>
        <w:tc>
          <w:tcPr>
            <w:tcW w:w="1985" w:type="dxa"/>
          </w:tcPr>
          <w:p w14:paraId="16EAFB7E" w14:textId="77777777" w:rsidR="00C701BE" w:rsidRPr="000021FE" w:rsidRDefault="00000000" w:rsidP="000021FE">
            <w:pPr>
              <w:spacing w:line="240" w:lineRule="auto"/>
            </w:pPr>
            <w:r w:rsidRPr="000021FE">
              <w:t>Tolerance výkresu</w:t>
            </w:r>
          </w:p>
        </w:tc>
        <w:tc>
          <w:tcPr>
            <w:tcW w:w="2217" w:type="dxa"/>
          </w:tcPr>
          <w:p w14:paraId="4FBEBD48" w14:textId="77777777" w:rsidR="00C701BE" w:rsidRPr="000021FE" w:rsidRDefault="00000000" w:rsidP="000021FE">
            <w:pPr>
              <w:spacing w:line="240" w:lineRule="auto"/>
            </w:pPr>
            <w:r w:rsidRPr="000021FE">
              <w:t>Protokol a schválení</w:t>
            </w:r>
          </w:p>
        </w:tc>
      </w:tr>
      <w:tr w:rsidR="00C701BE" w:rsidRPr="000021FE" w14:paraId="3B010897" w14:textId="77777777" w:rsidTr="000021FE">
        <w:trPr>
          <w:cantSplit/>
        </w:trPr>
        <w:tc>
          <w:tcPr>
            <w:tcW w:w="704" w:type="dxa"/>
          </w:tcPr>
          <w:p w14:paraId="65AB6B4A" w14:textId="77777777" w:rsidR="00C701BE" w:rsidRPr="000021FE" w:rsidRDefault="00000000" w:rsidP="000021FE">
            <w:pPr>
              <w:spacing w:line="240" w:lineRule="auto"/>
            </w:pPr>
            <w:r w:rsidRPr="000021FE">
              <w:t>P02</w:t>
            </w:r>
          </w:p>
        </w:tc>
        <w:tc>
          <w:tcPr>
            <w:tcW w:w="2410" w:type="dxa"/>
          </w:tcPr>
          <w:p w14:paraId="7C3FEDFD" w14:textId="77777777" w:rsidR="00C701BE" w:rsidRPr="000021FE" w:rsidRDefault="00000000" w:rsidP="000021FE">
            <w:pPr>
              <w:spacing w:line="240" w:lineRule="auto"/>
            </w:pPr>
            <w:r w:rsidRPr="000021FE">
              <w:t>Zadaná specifikace těsnosti</w:t>
            </w:r>
          </w:p>
        </w:tc>
        <w:tc>
          <w:tcPr>
            <w:tcW w:w="1984" w:type="dxa"/>
          </w:tcPr>
          <w:p w14:paraId="3B9A09A2" w14:textId="77777777" w:rsidR="00C701BE" w:rsidRPr="000021FE" w:rsidRDefault="00000000" w:rsidP="000021FE">
            <w:pPr>
              <w:spacing w:line="240" w:lineRule="auto"/>
            </w:pPr>
            <w:r w:rsidRPr="000021FE">
              <w:t>Sjednaná zkouška</w:t>
            </w:r>
          </w:p>
        </w:tc>
        <w:tc>
          <w:tcPr>
            <w:tcW w:w="1985" w:type="dxa"/>
          </w:tcPr>
          <w:p w14:paraId="1F70561C" w14:textId="77777777" w:rsidR="00C701BE" w:rsidRPr="000021FE" w:rsidRDefault="00000000" w:rsidP="000021FE">
            <w:pPr>
              <w:spacing w:line="240" w:lineRule="auto"/>
            </w:pPr>
            <w:r w:rsidRPr="000021FE">
              <w:t>Mez dle zadání</w:t>
            </w:r>
          </w:p>
        </w:tc>
        <w:tc>
          <w:tcPr>
            <w:tcW w:w="2217" w:type="dxa"/>
          </w:tcPr>
          <w:p w14:paraId="33A423E0" w14:textId="77777777" w:rsidR="00C701BE" w:rsidRPr="000021FE" w:rsidRDefault="00000000" w:rsidP="000021FE">
            <w:pPr>
              <w:spacing w:line="240" w:lineRule="auto"/>
            </w:pPr>
            <w:r w:rsidRPr="000021FE">
              <w:t>Protokol a identita vzorku</w:t>
            </w:r>
          </w:p>
        </w:tc>
      </w:tr>
      <w:tr w:rsidR="00C701BE" w:rsidRPr="000021FE" w14:paraId="07965ACC" w14:textId="77777777" w:rsidTr="000021FE">
        <w:trPr>
          <w:cantSplit/>
        </w:trPr>
        <w:tc>
          <w:tcPr>
            <w:tcW w:w="704" w:type="dxa"/>
          </w:tcPr>
          <w:p w14:paraId="31B355E2" w14:textId="77777777" w:rsidR="00C701BE" w:rsidRPr="000021FE" w:rsidRDefault="00000000" w:rsidP="000021FE">
            <w:pPr>
              <w:spacing w:line="240" w:lineRule="auto"/>
            </w:pPr>
            <w:r w:rsidRPr="000021FE">
              <w:t>P03</w:t>
            </w:r>
          </w:p>
        </w:tc>
        <w:tc>
          <w:tcPr>
            <w:tcW w:w="2410" w:type="dxa"/>
          </w:tcPr>
          <w:p w14:paraId="47F28E73" w14:textId="77777777" w:rsidR="00C701BE" w:rsidRPr="000021FE" w:rsidRDefault="00000000" w:rsidP="000021FE">
            <w:pPr>
              <w:spacing w:line="240" w:lineRule="auto"/>
            </w:pPr>
            <w:r w:rsidRPr="000021FE">
              <w:t>Příslušný právní režim</w:t>
            </w:r>
          </w:p>
        </w:tc>
        <w:tc>
          <w:tcPr>
            <w:tcW w:w="1984" w:type="dxa"/>
          </w:tcPr>
          <w:p w14:paraId="3F4FB954" w14:textId="77777777" w:rsidR="00C701BE" w:rsidRPr="000021FE" w:rsidRDefault="00000000" w:rsidP="000021FE">
            <w:pPr>
              <w:spacing w:line="240" w:lineRule="auto"/>
            </w:pPr>
            <w:r w:rsidRPr="000021FE">
              <w:t>Kontrola dokladů</w:t>
            </w:r>
          </w:p>
        </w:tc>
        <w:tc>
          <w:tcPr>
            <w:tcW w:w="1985" w:type="dxa"/>
          </w:tcPr>
          <w:p w14:paraId="7085A667" w14:textId="77777777" w:rsidR="00C701BE" w:rsidRPr="000021FE" w:rsidRDefault="00000000" w:rsidP="000021FE">
            <w:pPr>
              <w:spacing w:line="240" w:lineRule="auto"/>
            </w:pPr>
            <w:r w:rsidRPr="000021FE">
              <w:t>Požadovaný obsah</w:t>
            </w:r>
          </w:p>
        </w:tc>
        <w:tc>
          <w:tcPr>
            <w:tcW w:w="2217" w:type="dxa"/>
          </w:tcPr>
          <w:p w14:paraId="524DA3EB" w14:textId="77777777" w:rsidR="00C701BE" w:rsidRPr="000021FE" w:rsidRDefault="00000000" w:rsidP="000021FE">
            <w:pPr>
              <w:spacing w:line="240" w:lineRule="auto"/>
            </w:pPr>
            <w:r w:rsidRPr="000021FE">
              <w:t>Platné prohlášení</w:t>
            </w:r>
          </w:p>
        </w:tc>
      </w:tr>
      <w:tr w:rsidR="00C701BE" w:rsidRPr="000021FE" w14:paraId="4E0D57EF" w14:textId="77777777" w:rsidTr="000021FE">
        <w:trPr>
          <w:cantSplit/>
        </w:trPr>
        <w:tc>
          <w:tcPr>
            <w:tcW w:w="704" w:type="dxa"/>
          </w:tcPr>
          <w:p w14:paraId="2E25F138" w14:textId="77777777" w:rsidR="00C701BE" w:rsidRPr="000021FE" w:rsidRDefault="00000000" w:rsidP="000021FE">
            <w:pPr>
              <w:spacing w:line="240" w:lineRule="auto"/>
            </w:pPr>
            <w:r w:rsidRPr="000021FE">
              <w:t>P04</w:t>
            </w:r>
          </w:p>
        </w:tc>
        <w:tc>
          <w:tcPr>
            <w:tcW w:w="2410" w:type="dxa"/>
          </w:tcPr>
          <w:p w14:paraId="00A3B229" w14:textId="77777777" w:rsidR="00C701BE" w:rsidRPr="000021FE" w:rsidRDefault="00000000" w:rsidP="000021FE">
            <w:pPr>
              <w:spacing w:line="240" w:lineRule="auto"/>
            </w:pPr>
            <w:r w:rsidRPr="000021FE">
              <w:t>Požadavky provozu</w:t>
            </w:r>
          </w:p>
        </w:tc>
        <w:tc>
          <w:tcPr>
            <w:tcW w:w="1984" w:type="dxa"/>
          </w:tcPr>
          <w:p w14:paraId="22F686F1" w14:textId="77777777" w:rsidR="00C701BE" w:rsidRPr="000021FE" w:rsidRDefault="00000000" w:rsidP="000021FE">
            <w:pPr>
              <w:spacing w:line="240" w:lineRule="auto"/>
            </w:pPr>
            <w:r w:rsidRPr="000021FE">
              <w:t>Funkční zkouška celku</w:t>
            </w:r>
          </w:p>
        </w:tc>
        <w:tc>
          <w:tcPr>
            <w:tcW w:w="1985" w:type="dxa"/>
          </w:tcPr>
          <w:p w14:paraId="66A3A04B" w14:textId="77777777" w:rsidR="00C701BE" w:rsidRPr="000021FE" w:rsidRDefault="00000000" w:rsidP="000021FE">
            <w:pPr>
              <w:spacing w:line="240" w:lineRule="auto"/>
            </w:pPr>
            <w:r w:rsidRPr="000021FE">
              <w:t>Přejímací plán</w:t>
            </w:r>
          </w:p>
        </w:tc>
        <w:tc>
          <w:tcPr>
            <w:tcW w:w="2217" w:type="dxa"/>
          </w:tcPr>
          <w:p w14:paraId="2E49534C" w14:textId="77777777" w:rsidR="00C701BE" w:rsidRPr="000021FE" w:rsidRDefault="00000000" w:rsidP="000021FE">
            <w:pPr>
              <w:spacing w:line="240" w:lineRule="auto"/>
            </w:pPr>
            <w:r w:rsidRPr="000021FE">
              <w:t>Záznam po instalaci</w:t>
            </w:r>
          </w:p>
        </w:tc>
      </w:tr>
    </w:tbl>
    <w:p w14:paraId="70F3570B" w14:textId="77777777" w:rsidR="00C701BE" w:rsidRPr="00B33274" w:rsidRDefault="00C701BE" w:rsidP="000021FE">
      <w:pPr>
        <w:spacing w:line="240" w:lineRule="auto"/>
      </w:pPr>
    </w:p>
    <w:p w14:paraId="425F3E6D" w14:textId="77777777" w:rsidR="00C701BE" w:rsidRPr="00B33274" w:rsidRDefault="00000000" w:rsidP="00DA3257">
      <w:pPr>
        <w:spacing w:line="240" w:lineRule="auto"/>
        <w:jc w:val="both"/>
      </w:pPr>
      <w:r w:rsidRPr="00B33274">
        <w:t>V reálné matici nahraďte obecná označení konkrétním dokumentem, článkem, mezí a identifikací důkazu. Při změně požadavku označte dotčené řádky a znovu posuďte důkazy. Prázdná buňka není splněný požadavek; je to úkol k dořešení.</w:t>
      </w:r>
    </w:p>
    <w:p w14:paraId="5AEAB822" w14:textId="77777777" w:rsidR="00C701BE" w:rsidRPr="00B33274" w:rsidRDefault="00000000" w:rsidP="00DA3257">
      <w:pPr>
        <w:pStyle w:val="Nadpis2"/>
        <w:spacing w:before="0" w:line="240" w:lineRule="auto"/>
        <w:jc w:val="both"/>
      </w:pPr>
      <w:bookmarkStart w:id="100" w:name="_Toc243068673"/>
      <w:r w:rsidRPr="00B33274">
        <w:t>12.4 Záznam neshody</w:t>
      </w:r>
      <w:bookmarkEnd w:id="100"/>
    </w:p>
    <w:p w14:paraId="79A6D6B3" w14:textId="77777777" w:rsidR="00C701BE" w:rsidRPr="00B33274" w:rsidRDefault="00000000" w:rsidP="00DA3257">
      <w:pPr>
        <w:spacing w:line="240" w:lineRule="auto"/>
        <w:jc w:val="both"/>
      </w:pPr>
      <w:r w:rsidRPr="00B33274">
        <w:t>Záznam obsahuje číslo neshody, datum, výrobek nebo zařízení, šarži a související zakázku. Popíše požadavek, skutečné zjištění a důkaz. Dále se uvede okamžité opatření, posouzení rozsahu a rizika, rozhodnutí o dalším nakládání, příčina, nápravné opatření, odpovědnost a termín. Uzavření je možné až po doložení výsledku a účinnosti opatření.</w:t>
      </w:r>
    </w:p>
    <w:p w14:paraId="108795E1" w14:textId="77777777" w:rsidR="00C701BE" w:rsidRPr="00B33274" w:rsidRDefault="00000000" w:rsidP="00DA3257">
      <w:pPr>
        <w:pStyle w:val="Nadpis2"/>
        <w:spacing w:before="0" w:line="240" w:lineRule="auto"/>
        <w:jc w:val="both"/>
      </w:pPr>
      <w:bookmarkStart w:id="101" w:name="_Toc243068674"/>
      <w:r w:rsidRPr="00B33274">
        <w:t>12.5 Před uvolněním do používání</w:t>
      </w:r>
      <w:bookmarkEnd w:id="101"/>
    </w:p>
    <w:p w14:paraId="3C8D8E2A" w14:textId="77777777" w:rsidR="00C701BE" w:rsidRPr="00B33274" w:rsidRDefault="00000000" w:rsidP="00DA3257">
      <w:pPr>
        <w:pStyle w:val="Seznamsodrkami"/>
        <w:spacing w:line="240" w:lineRule="auto"/>
        <w:ind w:left="283" w:hanging="142"/>
        <w:jc w:val="both"/>
      </w:pPr>
      <w:r w:rsidRPr="00B33274">
        <w:t>Odpovídá skutečné provedení schválené dokumentaci a objednávce?</w:t>
      </w:r>
    </w:p>
    <w:p w14:paraId="1D93A84B" w14:textId="77777777" w:rsidR="00C701BE" w:rsidRPr="00B33274" w:rsidRDefault="00000000" w:rsidP="00DA3257">
      <w:pPr>
        <w:pStyle w:val="Seznamsodrkami"/>
        <w:spacing w:line="240" w:lineRule="auto"/>
        <w:ind w:left="283" w:hanging="142"/>
        <w:jc w:val="both"/>
      </w:pPr>
      <w:r w:rsidRPr="00B33274">
        <w:t>Jsou všechny požadované zkoušky uzavřeny a výsledky vyhodnoceny?</w:t>
      </w:r>
    </w:p>
    <w:p w14:paraId="44AC0037" w14:textId="77777777" w:rsidR="00C701BE" w:rsidRPr="00B33274" w:rsidRDefault="00000000" w:rsidP="00DA3257">
      <w:pPr>
        <w:pStyle w:val="Seznamsodrkami"/>
        <w:spacing w:line="240" w:lineRule="auto"/>
        <w:ind w:left="283" w:hanging="142"/>
        <w:jc w:val="both"/>
      </w:pPr>
      <w:r w:rsidRPr="00B33274">
        <w:t>Jsou doklady jednoznačně propojené s konkrétním výrobkem a jeho verzí?</w:t>
      </w:r>
    </w:p>
    <w:p w14:paraId="159115F3" w14:textId="77777777" w:rsidR="00C701BE" w:rsidRPr="00B33274" w:rsidRDefault="00000000" w:rsidP="00DA3257">
      <w:pPr>
        <w:pStyle w:val="Seznamsodrkami"/>
        <w:spacing w:line="240" w:lineRule="auto"/>
        <w:ind w:left="283" w:hanging="142"/>
        <w:jc w:val="both"/>
      </w:pPr>
      <w:r w:rsidRPr="00B33274">
        <w:lastRenderedPageBreak/>
        <w:t>Jsou vyřešeny neshody a splněny podmínky montáže i uvedení do provozu?</w:t>
      </w:r>
    </w:p>
    <w:p w14:paraId="7A03C831" w14:textId="77777777" w:rsidR="00C701BE" w:rsidRPr="00B33274" w:rsidRDefault="00000000" w:rsidP="00DA3257">
      <w:pPr>
        <w:pStyle w:val="Seznamsodrkami"/>
        <w:spacing w:line="240" w:lineRule="auto"/>
        <w:ind w:left="283" w:hanging="142"/>
        <w:jc w:val="both"/>
      </w:pPr>
      <w:r w:rsidRPr="00B33274">
        <w:t>Je dostupný návod, plán údržby a potřebné informace pro obsluhu?</w:t>
      </w:r>
    </w:p>
    <w:p w14:paraId="7E23F37D" w14:textId="77777777" w:rsidR="00C701BE" w:rsidRPr="00B33274" w:rsidRDefault="00000000" w:rsidP="00DA3257">
      <w:pPr>
        <w:pStyle w:val="Seznamsodrkami"/>
        <w:spacing w:line="240" w:lineRule="auto"/>
        <w:ind w:left="283" w:hanging="142"/>
        <w:jc w:val="both"/>
      </w:pPr>
      <w:r w:rsidRPr="00B33274">
        <w:t>Je určen správce dokumentace a režim sledování změn?</w:t>
      </w:r>
    </w:p>
    <w:p w14:paraId="4440EDA2" w14:textId="77777777" w:rsidR="00C701BE" w:rsidRPr="00B33274" w:rsidRDefault="00000000" w:rsidP="00DA3257">
      <w:pPr>
        <w:pStyle w:val="Nadpis1"/>
        <w:spacing w:before="0" w:line="240" w:lineRule="auto"/>
        <w:jc w:val="both"/>
      </w:pPr>
      <w:bookmarkStart w:id="102" w:name="_Toc243068422"/>
      <w:bookmarkStart w:id="103" w:name="_Toc243068675"/>
      <w:bookmarkStart w:id="104" w:name="_Toc243068779"/>
      <w:bookmarkStart w:id="105" w:name="_Toc243071046"/>
      <w:r w:rsidRPr="00B33274">
        <w:t>13 Jak převést technické zadání do kontrolního plánu</w:t>
      </w:r>
      <w:bookmarkEnd w:id="102"/>
      <w:bookmarkEnd w:id="103"/>
      <w:bookmarkEnd w:id="104"/>
      <w:bookmarkEnd w:id="105"/>
    </w:p>
    <w:p w14:paraId="09E936FF" w14:textId="77777777" w:rsidR="00C701BE" w:rsidRPr="00B33274" w:rsidRDefault="00000000" w:rsidP="00DA3257">
      <w:pPr>
        <w:pStyle w:val="Nadpis2"/>
        <w:spacing w:before="0" w:line="240" w:lineRule="auto"/>
        <w:jc w:val="both"/>
      </w:pPr>
      <w:bookmarkStart w:id="106" w:name="_Toc243068676"/>
      <w:r w:rsidRPr="00B33274">
        <w:t>13.1 Požadavek musí být měřitelný nebo jinak ověřitelný</w:t>
      </w:r>
      <w:bookmarkEnd w:id="106"/>
    </w:p>
    <w:p w14:paraId="52EF91A1" w14:textId="77777777" w:rsidR="00C701BE" w:rsidRPr="00B33274" w:rsidRDefault="00000000" w:rsidP="00DA3257">
      <w:pPr>
        <w:spacing w:line="240" w:lineRule="auto"/>
        <w:jc w:val="both"/>
      </w:pPr>
      <w:r w:rsidRPr="00B33274">
        <w:t>Zadání bývá na počátku vyjádřeno potřebou: zařízení má být spolehlivé, snadno udržovatelné a úsporné. Pro návrh a přejímku je nutné tyto potřeby rozložit na konkrétní vlastnosti. U čerpadla lze určit pracovní bod, přípustný příkon, materiálové provedení, dostupnost údržbových míst a podmínky provozní zkoušky. Každá vlastnost však vyžaduje vlastní způsob doložení. Hodnocení údržby například nelze nahradit pouze hydraulickou zkouškou.</w:t>
      </w:r>
    </w:p>
    <w:p w14:paraId="4BB2A1C8" w14:textId="77777777" w:rsidR="00C701BE" w:rsidRPr="00B33274" w:rsidRDefault="00000000" w:rsidP="00DA3257">
      <w:pPr>
        <w:spacing w:line="240" w:lineRule="auto"/>
        <w:jc w:val="both"/>
      </w:pPr>
      <w:r w:rsidRPr="00B33274">
        <w:t>Než se požadavek zapíše do objednávky, ověřte jeho úplnost. Musí být zřejmé, co se hodnotí, za jakých podmínek, s jakou mezí a na jakém předmětu. Údaj „životnost deset let“ je neúplný, pokud nejsou známy počet cyklů, zatížení, prostředí a plánovaná údržba. Stejně problematický je příkaz „bez koroze“, který nerozlišuje vzhledovou změnu od ztráty funkce nebo nosnosti.</w:t>
      </w:r>
    </w:p>
    <w:p w14:paraId="1EF55CC3" w14:textId="77777777" w:rsidR="00C701BE" w:rsidRPr="00B33274" w:rsidRDefault="00000000" w:rsidP="00DA3257">
      <w:pPr>
        <w:pStyle w:val="Nadpis2"/>
        <w:spacing w:before="0" w:line="240" w:lineRule="auto"/>
        <w:jc w:val="both"/>
      </w:pPr>
      <w:bookmarkStart w:id="107" w:name="_Toc243068677"/>
      <w:r w:rsidRPr="00B33274">
        <w:t>13.2 Tři úrovně důkazů</w:t>
      </w:r>
      <w:bookmarkEnd w:id="107"/>
    </w:p>
    <w:p w14:paraId="45F455EB" w14:textId="77777777" w:rsidR="00C701BE" w:rsidRPr="00B33274" w:rsidRDefault="00000000" w:rsidP="00DA3257">
      <w:pPr>
        <w:spacing w:line="240" w:lineRule="auto"/>
        <w:jc w:val="both"/>
      </w:pPr>
      <w:r w:rsidRPr="00B33274">
        <w:t>První úroveň tvoří doklady o návrhu: výpočty, výkresy, rozbor rizik a odůvodnění volby materiálů. Druhou úroveň představují důkazy o výrobku, například rozměrová kontrola, zkouška vlastností nebo identifikace materiálu. Třetí úroveň ověřuje celek po instalaci v podmínkách použití. Kontrolní plán musí určit, která úroveň je pro daný požadavek rozhodná a jak spolu důkazy souvisejí.</w:t>
      </w:r>
    </w:p>
    <w:p w14:paraId="4990F13C" w14:textId="77777777" w:rsidR="00C701BE" w:rsidRPr="00B33274" w:rsidRDefault="00000000" w:rsidP="00DA3257">
      <w:pPr>
        <w:spacing w:line="240" w:lineRule="auto"/>
        <w:jc w:val="both"/>
      </w:pPr>
      <w:r w:rsidRPr="00B33274">
        <w:t>Výpočet únosnosti neprokazuje, že byl skutečně použit předepsaný materiál. Materiálový dokument zase neprokazuje správnou montáž a zkouška v provozu nemusí odhalit všechny dlouhodobé mechanismy poruchy. Rozdělení důkazů pomáhá včas zjistit mezery a zabránit tomu, aby byl jeden obecný certifikát používán pro nesouvisející vlastnosti.</w:t>
      </w:r>
    </w:p>
    <w:p w14:paraId="588374F8" w14:textId="77777777" w:rsidR="00C701BE" w:rsidRPr="00B33274" w:rsidRDefault="00000000" w:rsidP="00DA3257">
      <w:pPr>
        <w:pStyle w:val="Nadpis2"/>
        <w:spacing w:before="0" w:line="240" w:lineRule="auto"/>
        <w:jc w:val="both"/>
      </w:pPr>
      <w:bookmarkStart w:id="108" w:name="_Toc243068678"/>
      <w:r w:rsidRPr="00B33274">
        <w:t>13.3 Kontrolní body a odpovědnosti</w:t>
      </w:r>
      <w:bookmarkEnd w:id="108"/>
    </w:p>
    <w:p w14:paraId="462B36B2" w14:textId="77777777" w:rsidR="00C701BE" w:rsidRPr="00B33274" w:rsidRDefault="00000000" w:rsidP="00DA3257">
      <w:pPr>
        <w:spacing w:line="240" w:lineRule="auto"/>
        <w:jc w:val="both"/>
      </w:pPr>
      <w:r w:rsidRPr="00B33274">
        <w:t>Do výrobního nebo montážního postupu zařaďte body, při nichž se určitá vlastnost ještě dá přímo zkontrolovat. U povrchové ochrany je například důležitý stav podkladu před zakrytím, u sestavy kontrola spojů před uzavřením krytu a u podzemního vedení záznam před zásypem. Pozdější kontrola může být drahá, destruktivní nebo již nemožná.</w:t>
      </w:r>
    </w:p>
    <w:p w14:paraId="02DE1406" w14:textId="77777777" w:rsidR="00C701BE" w:rsidRPr="00B33274" w:rsidRDefault="00000000" w:rsidP="00DA3257">
      <w:pPr>
        <w:spacing w:line="240" w:lineRule="auto"/>
        <w:jc w:val="both"/>
      </w:pPr>
      <w:r w:rsidRPr="00B33274">
        <w:t>Rozlišujte kontrolní bod, k němuž je odběratel přizván, a bod, po němž se bez schválení nesmí pokračovat. U obou určete způsob oznámení, lhůtu reakce a dokument, který pokračování umožní. Pokud tyto podmínky nejsou sjednány předem, může stavba nebo výroba stát kvůli nejasnému očekávání, nikoli kvůli technické závadě.</w:t>
      </w:r>
    </w:p>
    <w:p w14:paraId="1CB2D6FD" w14:textId="77777777" w:rsidR="00C701BE" w:rsidRPr="00B33274" w:rsidRDefault="00000000" w:rsidP="00DA3257">
      <w:pPr>
        <w:pStyle w:val="Nadpis2"/>
        <w:spacing w:before="0" w:line="240" w:lineRule="auto"/>
        <w:jc w:val="both"/>
      </w:pPr>
      <w:bookmarkStart w:id="109" w:name="_Toc243068679"/>
      <w:r w:rsidRPr="00B33274">
        <w:t>13.4 Přiměřenost rozsahu</w:t>
      </w:r>
      <w:bookmarkEnd w:id="109"/>
    </w:p>
    <w:p w14:paraId="13EE7338" w14:textId="77777777" w:rsidR="00C701BE" w:rsidRPr="00B33274" w:rsidRDefault="00000000" w:rsidP="00DA3257">
      <w:pPr>
        <w:spacing w:line="240" w:lineRule="auto"/>
        <w:jc w:val="both"/>
      </w:pPr>
      <w:r w:rsidRPr="00B33274">
        <w:t>Rozsah ověření odvozujte od následků poruchy, složitosti výrobku a znalosti procesu. Změna obchodního označení při nezměněném provedení má jiný význam než změna nosného materiálu nebo bezpečnostní funkce. Nákladné zkoušky mají být zaměřeny na skutečnou nejistotu rozhodnutí. Jejich počet není sám o sobě měřítkem kvality kontroly.</w:t>
      </w:r>
    </w:p>
    <w:p w14:paraId="3DC6E484" w14:textId="77777777" w:rsidR="00C701BE" w:rsidRPr="00B33274" w:rsidRDefault="00000000" w:rsidP="00DA3257">
      <w:pPr>
        <w:spacing w:line="240" w:lineRule="auto"/>
        <w:jc w:val="both"/>
      </w:pPr>
      <w:r w:rsidRPr="00B33274">
        <w:t>Kontrolní plán má žít s výrobkem. Po opakované závadě nebo významné změně dodavatele jej přezkoumejte. Naopak dlouhodobě stabilní výsledek může umožnit odůvodněnou úpravu četnosti některých interních kontrol, pokud tomu nebrání předpis, norma nebo smlouva. Každá změna musí mít zaznamenaný důvod a schválení odpovědné osoby.</w:t>
      </w:r>
    </w:p>
    <w:p w14:paraId="12396623" w14:textId="77777777" w:rsidR="00C701BE" w:rsidRPr="00B33274" w:rsidRDefault="00000000" w:rsidP="00DA3257">
      <w:pPr>
        <w:pStyle w:val="Nadpis1"/>
        <w:spacing w:before="0" w:line="240" w:lineRule="auto"/>
        <w:jc w:val="both"/>
      </w:pPr>
      <w:bookmarkStart w:id="110" w:name="_Toc243068423"/>
      <w:bookmarkStart w:id="111" w:name="_Toc243068680"/>
      <w:bookmarkStart w:id="112" w:name="_Toc243068780"/>
      <w:bookmarkStart w:id="113" w:name="_Toc243071047"/>
      <w:r w:rsidRPr="00B33274">
        <w:t>14 Základy statistického vyhodnocení technických dat</w:t>
      </w:r>
      <w:bookmarkEnd w:id="110"/>
      <w:bookmarkEnd w:id="111"/>
      <w:bookmarkEnd w:id="112"/>
      <w:bookmarkEnd w:id="113"/>
    </w:p>
    <w:p w14:paraId="3F0FF973" w14:textId="77777777" w:rsidR="00C701BE" w:rsidRPr="00B33274" w:rsidRDefault="00000000" w:rsidP="00DA3257">
      <w:pPr>
        <w:pStyle w:val="Nadpis2"/>
        <w:spacing w:before="0" w:line="240" w:lineRule="auto"/>
        <w:jc w:val="both"/>
      </w:pPr>
      <w:bookmarkStart w:id="114" w:name="_Toc243068681"/>
      <w:r w:rsidRPr="00B33274">
        <w:t>14.1 Nejdříve rozumějte souboru</w:t>
      </w:r>
      <w:bookmarkEnd w:id="114"/>
    </w:p>
    <w:p w14:paraId="62E1751C" w14:textId="77777777" w:rsidR="00C701BE" w:rsidRPr="00B33274" w:rsidRDefault="00000000" w:rsidP="00DA3257">
      <w:pPr>
        <w:spacing w:line="240" w:lineRule="auto"/>
        <w:jc w:val="both"/>
      </w:pPr>
      <w:r w:rsidRPr="00B33274">
        <w:t>Před výpočtem průměru určete, co jednotlivé hodnoty představují. Opakované měření jednoho kusu popisuje především chování měřicího postupu. Měření různých kusů popisuje navíc proměnlivost výroby. Smíchání obou situací může vést k chybnému závěru, že přesnější měřidlo odstraní rozptyl způsobený výrobou nebo naopak.</w:t>
      </w:r>
    </w:p>
    <w:p w14:paraId="7E56A62F" w14:textId="77777777" w:rsidR="00C701BE" w:rsidRPr="00B33274" w:rsidRDefault="00000000" w:rsidP="00DA3257">
      <w:pPr>
        <w:spacing w:line="240" w:lineRule="auto"/>
        <w:jc w:val="both"/>
      </w:pPr>
      <w:r w:rsidRPr="00B33274">
        <w:lastRenderedPageBreak/>
        <w:t>Ke každé hodnotě uchovávejte pořadí, čas, identifikaci kusu, operátora a relevantní provozní podmínky. Seznam hodnot bez těchto údajů sice umožní spočítat směrodatnou odchylku, ale často znemožní vysvětlit změnu. Přitom pro nápravu může být právě časová souvislost důležitější než další desetinné místo statistického ukazatele.</w:t>
      </w:r>
    </w:p>
    <w:p w14:paraId="5D32524F" w14:textId="77777777" w:rsidR="00C701BE" w:rsidRPr="00B33274" w:rsidRDefault="00000000" w:rsidP="00DA3257">
      <w:pPr>
        <w:pStyle w:val="Nadpis2"/>
        <w:spacing w:before="0" w:line="240" w:lineRule="auto"/>
        <w:jc w:val="both"/>
      </w:pPr>
      <w:bookmarkStart w:id="115" w:name="_Toc243068682"/>
      <w:r w:rsidRPr="00B33274">
        <w:t>14.2 Průměr rozptyl a medián</w:t>
      </w:r>
      <w:bookmarkEnd w:id="115"/>
    </w:p>
    <w:p w14:paraId="6E8C76A4" w14:textId="77777777" w:rsidR="00C701BE" w:rsidRPr="00B33274" w:rsidRDefault="00000000" w:rsidP="00DA3257">
      <w:pPr>
        <w:spacing w:line="240" w:lineRule="auto"/>
        <w:jc w:val="both"/>
      </w:pPr>
      <w:r w:rsidRPr="00B33274">
        <w:t>Aritmetický průměr vyjadřuje střed souboru, ale nepopisuje jeho variabilitu. Dvě dodávky mohou mít stejný průměr a velmi odlišný podíl kusů mimo toleranci. Spolu s průměrem proto sledujte počet výsledků, minimum, maximum a vhodnou míru rozptýlení. U základní výběrové směrodatné odchylky se součet čtverců odchylek od průměru dělí počtem hodnot zmenšeným o jednu.</w:t>
      </w:r>
    </w:p>
    <w:p w14:paraId="1DB05888" w14:textId="77777777" w:rsidR="00C701BE" w:rsidRPr="00B33274" w:rsidRDefault="00000000" w:rsidP="00DA3257">
      <w:pPr>
        <w:spacing w:line="240" w:lineRule="auto"/>
        <w:jc w:val="both"/>
      </w:pPr>
      <w:r w:rsidRPr="00B33274">
        <w:t>Medián je prostřední hodnota seřazeného souboru; u sudého počtu se běžně používá průměr dvou prostředních hodnot. Je méně citlivý na ojedinělou extrémní hodnotu, ale jeho použití nesmí sloužit ke skrytí skutečných závad. Odlehlý výsledek nejprve prověřte podle původního záznamu a měřicích podmínek. Vyřazení musí být odborně odůvodněné a dohledatelné.</w:t>
      </w:r>
    </w:p>
    <w:p w14:paraId="11412310" w14:textId="77777777" w:rsidR="00C701BE" w:rsidRPr="00B33274" w:rsidRDefault="00000000" w:rsidP="00DA3257">
      <w:pPr>
        <w:pStyle w:val="Nadpis2"/>
        <w:spacing w:before="0" w:line="240" w:lineRule="auto"/>
        <w:jc w:val="both"/>
      </w:pPr>
      <w:bookmarkStart w:id="116" w:name="_Toc243068683"/>
      <w:r w:rsidRPr="00B33274">
        <w:t>14.3 Krátký výukový příklad</w:t>
      </w:r>
      <w:bookmarkEnd w:id="116"/>
    </w:p>
    <w:p w14:paraId="0AEAE57F" w14:textId="77777777" w:rsidR="00C701BE" w:rsidRPr="00B33274" w:rsidRDefault="00000000" w:rsidP="00DA3257">
      <w:pPr>
        <w:spacing w:line="240" w:lineRule="auto"/>
        <w:jc w:val="both"/>
      </w:pPr>
      <w:r w:rsidRPr="00B33274">
        <w:t>Pět výsledků délky je 10,01; 10,02; 10,00; 10,03 a 9,99 mm. Průměr je 10,01 mm, minimum 9,99 mm, maximum 10,03 mm a výběrová směrodatná odchylka přibližně 0,016 mm. Tento výsledek ještě neříká, zda výrobek vyhovuje. Je třeba znát toleranci, nejistotu měření a to, zda jde o pět kusů, nebo pět měření jednoho kusu.</w:t>
      </w:r>
    </w:p>
    <w:p w14:paraId="7072F3F4" w14:textId="77777777" w:rsidR="00C701BE" w:rsidRPr="00B33274" w:rsidRDefault="00000000" w:rsidP="00DA3257">
      <w:pPr>
        <w:spacing w:line="240" w:lineRule="auto"/>
        <w:jc w:val="both"/>
      </w:pPr>
      <w:r w:rsidRPr="00B33274">
        <w:t>Pokud jde o nezávislá opakování za stejných podmínek, standardní nejistota průměru odhadovaná z tohoto rozptylu je směrodatná odchylka dělená odmocninou z pěti, přibližně 0,007 mm. K úplné nejistotě ale přispívají i další vlivy. Nejistota průměru se navíc nesmí vydávat za rozptyl jednotlivých výrobků.</w:t>
      </w:r>
    </w:p>
    <w:p w14:paraId="0505C809" w14:textId="77777777" w:rsidR="00C701BE" w:rsidRPr="00B33274" w:rsidRDefault="00000000" w:rsidP="00DA3257">
      <w:pPr>
        <w:pStyle w:val="Nadpis2"/>
        <w:spacing w:before="0" w:line="240" w:lineRule="auto"/>
        <w:jc w:val="both"/>
      </w:pPr>
      <w:bookmarkStart w:id="117" w:name="_Toc243068684"/>
      <w:r w:rsidRPr="00B33274">
        <w:t>14.4 Graf často odhalí více než souhrnná tabulka</w:t>
      </w:r>
      <w:bookmarkEnd w:id="117"/>
    </w:p>
    <w:p w14:paraId="49D7C66E" w14:textId="77777777" w:rsidR="00C701BE" w:rsidRPr="00B33274" w:rsidRDefault="00000000" w:rsidP="00DA3257">
      <w:pPr>
        <w:spacing w:line="240" w:lineRule="auto"/>
        <w:jc w:val="both"/>
      </w:pPr>
      <w:r w:rsidRPr="00B33274">
        <w:t>Před závěrem zobrazte hodnoty v pořadí měření. Postupné zvyšování rozměru může ukazovat na teplotní změnu nebo opotřebení nástroje. Histogram naproti tomu ukáže rozdělení četností, ale časovou informaci potlačí. Oba pohledy se doplňují. Dva vrcholy v histogramu mohou například znamenat smíšenou výrobu ze dvou strojů, nikoli neobvyklé chování jednoho stroje.</w:t>
      </w:r>
    </w:p>
    <w:p w14:paraId="75E43689" w14:textId="77777777" w:rsidR="00C701BE" w:rsidRPr="00B33274" w:rsidRDefault="00000000" w:rsidP="00DA3257">
      <w:pPr>
        <w:spacing w:line="240" w:lineRule="auto"/>
        <w:jc w:val="both"/>
      </w:pPr>
      <w:r w:rsidRPr="00B33274">
        <w:t>Nepředpokládejte automaticky normální rozdělení. U kladných veličin blízko nuly, doby do poruchy, počtu závad nebo výsledků pod mezí stanovitelnosti mohou být vhodné jiné modely. Statistický postup musí odpovídat povaze dat. Významná technická rozhodnutí neopírejte o model zvolený pouze proto, že jej nabízí výchozí nastavení programu. [13]</w:t>
      </w:r>
    </w:p>
    <w:p w14:paraId="4F0D1809" w14:textId="77777777" w:rsidR="00C701BE" w:rsidRPr="00B33274" w:rsidRDefault="00000000" w:rsidP="00DA3257">
      <w:pPr>
        <w:pStyle w:val="Nadpis1"/>
        <w:spacing w:before="0" w:line="240" w:lineRule="auto"/>
        <w:jc w:val="both"/>
      </w:pPr>
      <w:bookmarkStart w:id="118" w:name="_Toc243068424"/>
      <w:bookmarkStart w:id="119" w:name="_Toc243068685"/>
      <w:bookmarkStart w:id="120" w:name="_Toc243068781"/>
      <w:bookmarkStart w:id="121" w:name="_Toc243071048"/>
      <w:r w:rsidRPr="00B33274">
        <w:t>15 Statistické řízení procesu</w:t>
      </w:r>
      <w:bookmarkEnd w:id="118"/>
      <w:bookmarkEnd w:id="119"/>
      <w:bookmarkEnd w:id="120"/>
      <w:bookmarkEnd w:id="121"/>
    </w:p>
    <w:p w14:paraId="445FEB42" w14:textId="77777777" w:rsidR="00C701BE" w:rsidRPr="00B33274" w:rsidRDefault="00000000" w:rsidP="00DA3257">
      <w:pPr>
        <w:pStyle w:val="Nadpis2"/>
        <w:spacing w:before="0" w:line="240" w:lineRule="auto"/>
        <w:jc w:val="both"/>
      </w:pPr>
      <w:bookmarkStart w:id="122" w:name="_Toc243068686"/>
      <w:r w:rsidRPr="00B33274">
        <w:t xml:space="preserve">15.1 Stabilita není </w:t>
      </w:r>
      <w:proofErr w:type="gramStart"/>
      <w:r w:rsidRPr="00B33274">
        <w:t>totéž</w:t>
      </w:r>
      <w:proofErr w:type="gramEnd"/>
      <w:r w:rsidRPr="00B33274">
        <w:t xml:space="preserve"> co vyhovující rozměr</w:t>
      </w:r>
      <w:bookmarkEnd w:id="122"/>
    </w:p>
    <w:p w14:paraId="2ED12296" w14:textId="77777777" w:rsidR="00C701BE" w:rsidRPr="00B33274" w:rsidRDefault="00000000" w:rsidP="00DA3257">
      <w:pPr>
        <w:spacing w:line="240" w:lineRule="auto"/>
        <w:jc w:val="both"/>
      </w:pPr>
      <w:r w:rsidRPr="00B33274">
        <w:t>Proces je statisticky stabilní, jestliže se jeho chování v čase mění pouze v mezích obvyklé variability daného procesu. Stabilní proces přesto může vyrábět nevyhovující kusy, pokud má nevhodný střed nebo příliš velký rozptyl. Nestabilní proces naopak může krátkodobě produkovat kusy uvnitř tolerance. Stabilitu a shodu proto vyhodnocujte odděleně. [14]</w:t>
      </w:r>
    </w:p>
    <w:p w14:paraId="2828A5A4" w14:textId="77777777" w:rsidR="00C701BE" w:rsidRPr="00B33274" w:rsidRDefault="00000000" w:rsidP="00DA3257">
      <w:pPr>
        <w:spacing w:line="240" w:lineRule="auto"/>
        <w:jc w:val="both"/>
      </w:pPr>
      <w:r w:rsidRPr="00B33274">
        <w:t>Regulační diagram sleduje vývoj veličiny nebo statistiky v čase. Regulační meze se odvozují z chování procesu, zatímco toleranční meze stanoví požadavek na výrobek. Zaměnit je znamená ztratit možnost poznat, zda se proces změnil dříve, než vznikne neshodný kus.</w:t>
      </w:r>
    </w:p>
    <w:p w14:paraId="3A67538E" w14:textId="77777777" w:rsidR="00C701BE" w:rsidRPr="00B33274" w:rsidRDefault="00000000" w:rsidP="00DA3257">
      <w:pPr>
        <w:pStyle w:val="Nadpis2"/>
        <w:spacing w:before="0" w:line="240" w:lineRule="auto"/>
        <w:jc w:val="both"/>
      </w:pPr>
      <w:bookmarkStart w:id="123" w:name="_Toc243068687"/>
      <w:r w:rsidRPr="00B33274">
        <w:t>15.2 Jak vytvořit použitelnou řadu</w:t>
      </w:r>
      <w:bookmarkEnd w:id="123"/>
    </w:p>
    <w:p w14:paraId="28FD334C" w14:textId="77777777" w:rsidR="00C701BE" w:rsidRPr="00B33274" w:rsidRDefault="00000000" w:rsidP="00DA3257">
      <w:pPr>
        <w:spacing w:line="240" w:lineRule="auto"/>
        <w:jc w:val="both"/>
      </w:pPr>
      <w:r w:rsidRPr="00B33274">
        <w:t>Určete veličinu, místo měření, četnost a způsob odběru. Důležité je zachovat srovnatelné podmínky a označit změny stroje, materiálu nebo obsluhy. Pokud vznikají přirozené malé skupiny kusů vyrobených za obdobných podmínek, lze sledovat jejich průměry a vnitroskupinovou variabilitu. Pro jednotlivá měření se volí jiný typ diagramu.</w:t>
      </w:r>
    </w:p>
    <w:p w14:paraId="14A5B3BE" w14:textId="77777777" w:rsidR="00C701BE" w:rsidRPr="00B33274" w:rsidRDefault="00000000" w:rsidP="00DA3257">
      <w:pPr>
        <w:spacing w:line="240" w:lineRule="auto"/>
        <w:jc w:val="both"/>
      </w:pPr>
      <w:r w:rsidRPr="00B33274">
        <w:t>Skupiny nesestavujte dodatečně tak, aby graf vypadal příznivě. Účelem jejich tvorby je oddělit krátkodobé kolísání od změn mezi skupinami. Při velmi řídkém odběru lze krátkou poruchu úplně přehlédnout; při příliš častém měření zase mohou být sousední hodnoty silně závislé. Četnost proto musí odpovídat rychlosti procesu.</w:t>
      </w:r>
    </w:p>
    <w:p w14:paraId="33ED3E4A" w14:textId="77777777" w:rsidR="00C701BE" w:rsidRPr="00B33274" w:rsidRDefault="00000000" w:rsidP="00DA3257">
      <w:pPr>
        <w:pStyle w:val="Nadpis2"/>
        <w:spacing w:before="0" w:line="240" w:lineRule="auto"/>
        <w:jc w:val="both"/>
      </w:pPr>
      <w:bookmarkStart w:id="124" w:name="_Toc243068688"/>
      <w:r w:rsidRPr="00B33274">
        <w:lastRenderedPageBreak/>
        <w:t>15.3 Jak reagovat na signál</w:t>
      </w:r>
      <w:bookmarkEnd w:id="124"/>
    </w:p>
    <w:p w14:paraId="2F7B748D" w14:textId="77777777" w:rsidR="00C701BE" w:rsidRPr="00B33274" w:rsidRDefault="00000000" w:rsidP="00DA3257">
      <w:pPr>
        <w:spacing w:line="240" w:lineRule="auto"/>
        <w:jc w:val="both"/>
      </w:pPr>
      <w:r w:rsidRPr="00B33274">
        <w:t>Před zavedením diagramu stanovte pravidla pro rozpoznání neobvyklého chování a odpovědnost za reakci. Signálem může být překročení regulační meze nebo určitý sled hodnot na jedné straně střední čáry. Konkrétní pravidla vyberte podle metody a nepřidávejte je bez rozmyslu; větší počet současných pravidel zvyšuje také četnost falešných poplachů.</w:t>
      </w:r>
    </w:p>
    <w:p w14:paraId="2E330CA1" w14:textId="77777777" w:rsidR="00C701BE" w:rsidRPr="00B33274" w:rsidRDefault="00000000" w:rsidP="00DA3257">
      <w:pPr>
        <w:spacing w:line="240" w:lineRule="auto"/>
        <w:jc w:val="both"/>
      </w:pPr>
      <w:r w:rsidRPr="00B33274">
        <w:t>Při signálu nejprve ověřte správnost měření a zaznamenejte podmínky. Následně hledejte konkrétní příčinu: výměnu šarže, změnu teploty, poruchu upnutí, opotřebení nebo zásah do nastavení. Každá odchylka nevyžaduje seřízení stroje. Neustálé zásahy do stabilního procesu podle jednotlivých výsledků mohou jeho rozptyl naopak zvětšit.</w:t>
      </w:r>
    </w:p>
    <w:p w14:paraId="77785A4C" w14:textId="77777777" w:rsidR="00C701BE" w:rsidRPr="00B33274" w:rsidRDefault="00000000" w:rsidP="00DA3257">
      <w:pPr>
        <w:pStyle w:val="Nadpis2"/>
        <w:spacing w:before="0" w:line="240" w:lineRule="auto"/>
        <w:jc w:val="both"/>
      </w:pPr>
      <w:bookmarkStart w:id="125" w:name="_Toc243068689"/>
      <w:r w:rsidRPr="00B33274">
        <w:t>15.4 Způsobilost procesu</w:t>
      </w:r>
      <w:bookmarkEnd w:id="125"/>
    </w:p>
    <w:p w14:paraId="5F2CFF55" w14:textId="77777777" w:rsidR="00C701BE" w:rsidRPr="00B33274" w:rsidRDefault="00000000" w:rsidP="00DA3257">
      <w:pPr>
        <w:spacing w:line="240" w:lineRule="auto"/>
        <w:jc w:val="both"/>
      </w:pPr>
      <w:r w:rsidRPr="00B33274">
        <w:t xml:space="preserve">Ukazatel </w:t>
      </w:r>
      <w:proofErr w:type="spellStart"/>
      <w:r w:rsidRPr="00B33274">
        <w:t>Cp</w:t>
      </w:r>
      <w:proofErr w:type="spellEnd"/>
      <w:r w:rsidRPr="00B33274">
        <w:t xml:space="preserve"> porovnává šířku tolerance se šestinásobkem odhadované směrodatné odchylky. Ukazatel </w:t>
      </w:r>
      <w:proofErr w:type="spellStart"/>
      <w:r w:rsidRPr="00B33274">
        <w:t>Cpk</w:t>
      </w:r>
      <w:proofErr w:type="spellEnd"/>
      <w:r w:rsidRPr="00B33274">
        <w:t xml:space="preserve"> navíc zohledňuje vzdálenost středu procesu od bližší toleranční meze. Jejich běžná interpretace vyžaduje odpovídající model, dostatečná reprezentativní data a posouzení stability. Hodnota vypočtená z několika vybraných kusů není spolehlivým důkazem dlouhodobé způsobilosti. [14]</w:t>
      </w:r>
    </w:p>
    <w:p w14:paraId="5C4C451B" w14:textId="77777777" w:rsidR="00C701BE" w:rsidRPr="00B33274" w:rsidRDefault="00000000" w:rsidP="00DA3257">
      <w:pPr>
        <w:spacing w:line="240" w:lineRule="auto"/>
        <w:jc w:val="both"/>
      </w:pPr>
      <w:r w:rsidRPr="00B33274">
        <w:t xml:space="preserve">Výukový příklad: při toleranci 19,90 až 20,10 mm a směrodatné odchylce 0,020 mm je </w:t>
      </w:r>
      <w:proofErr w:type="spellStart"/>
      <w:r w:rsidRPr="00B33274">
        <w:t>Cp</w:t>
      </w:r>
      <w:proofErr w:type="spellEnd"/>
      <w:r w:rsidRPr="00B33274">
        <w:t xml:space="preserve"> přibližně 1,67. Je-li průměr 20,04 mm, </w:t>
      </w:r>
      <w:proofErr w:type="spellStart"/>
      <w:r w:rsidRPr="00B33274">
        <w:t>Cpk</w:t>
      </w:r>
      <w:proofErr w:type="spellEnd"/>
      <w:r w:rsidRPr="00B33274">
        <w:t xml:space="preserve"> vychází 1,00, protože k horní mezi zbývá pouze 0,06 mm. Proces tedy má menší rezervu, než by naznačovala samotná hodnota </w:t>
      </w:r>
      <w:proofErr w:type="spellStart"/>
      <w:r w:rsidRPr="00B33274">
        <w:t>Cp</w:t>
      </w:r>
      <w:proofErr w:type="spellEnd"/>
      <w:r w:rsidRPr="00B33274">
        <w:t>. Žádná z těchto hodnot však není univerzálním přejímacím požadavkem; požadovanou úroveň musí stanovit příslušné zadání.</w:t>
      </w:r>
    </w:p>
    <w:p w14:paraId="750405DB" w14:textId="77777777" w:rsidR="00C701BE" w:rsidRPr="00B33274" w:rsidRDefault="00000000" w:rsidP="00DA3257">
      <w:pPr>
        <w:spacing w:line="240" w:lineRule="auto"/>
        <w:jc w:val="both"/>
      </w:pPr>
      <w:r w:rsidRPr="00B33274">
        <w:t>Při zlepšování procesu rozlišujte posun středu a zmenšení rozptylu. První může vyřešit nastavení, druhé často vyžaduje změnu technologie nebo podmínek. Výsledky vždy uvádějte s obdobím, počtem kusů a způsobem odhadu variability.</w:t>
      </w:r>
    </w:p>
    <w:p w14:paraId="366195B9" w14:textId="77777777" w:rsidR="00C701BE" w:rsidRPr="00B33274" w:rsidRDefault="00000000" w:rsidP="00DA3257">
      <w:pPr>
        <w:pStyle w:val="Nadpis1"/>
        <w:spacing w:before="0" w:line="240" w:lineRule="auto"/>
        <w:jc w:val="both"/>
      </w:pPr>
      <w:bookmarkStart w:id="126" w:name="_Toc243068425"/>
      <w:bookmarkStart w:id="127" w:name="_Toc243068690"/>
      <w:bookmarkStart w:id="128" w:name="_Toc243068782"/>
      <w:bookmarkStart w:id="129" w:name="_Toc243071049"/>
      <w:r w:rsidRPr="00B33274">
        <w:t>16 Výběrová přejímka dodávek</w:t>
      </w:r>
      <w:bookmarkEnd w:id="126"/>
      <w:bookmarkEnd w:id="127"/>
      <w:bookmarkEnd w:id="128"/>
      <w:bookmarkEnd w:id="129"/>
    </w:p>
    <w:p w14:paraId="58B9BB17" w14:textId="77777777" w:rsidR="00C701BE" w:rsidRPr="00B33274" w:rsidRDefault="00000000" w:rsidP="00DA3257">
      <w:pPr>
        <w:pStyle w:val="Nadpis2"/>
        <w:spacing w:before="0" w:line="240" w:lineRule="auto"/>
        <w:jc w:val="both"/>
      </w:pPr>
      <w:bookmarkStart w:id="130" w:name="_Toc243068691"/>
      <w:r w:rsidRPr="00B33274">
        <w:t>16.1 Co lze zjistit z části dodávky</w:t>
      </w:r>
      <w:bookmarkEnd w:id="130"/>
    </w:p>
    <w:p w14:paraId="684B35DF" w14:textId="77777777" w:rsidR="00C701BE" w:rsidRPr="00B33274" w:rsidRDefault="00000000" w:rsidP="00DA3257">
      <w:pPr>
        <w:spacing w:line="240" w:lineRule="auto"/>
        <w:jc w:val="both"/>
      </w:pPr>
      <w:r w:rsidRPr="00B33274">
        <w:t>Výběrová přejímka rozhoduje o dávce na základě omezeného počtu kontrolovaných jednotek. Je vhodná tam, kde úplná kontrola není hospodárná nebo by výrobky zničila. Je spojena s rizikem, že bude přijata horší dávka nebo odmítnuta dávka lepší. Plán proto nelze popsat jen počtem odebraných kusů; musí obsahovat také pravidlo rozhodnutí. [15]</w:t>
      </w:r>
    </w:p>
    <w:p w14:paraId="285EA805" w14:textId="77777777" w:rsidR="00C701BE" w:rsidRPr="00B33274" w:rsidRDefault="00000000" w:rsidP="00DA3257">
      <w:pPr>
        <w:spacing w:line="240" w:lineRule="auto"/>
        <w:jc w:val="both"/>
      </w:pPr>
      <w:r w:rsidRPr="00B33274">
        <w:t>Dávku vymezte tak, aby měla technický smysl: společné provedení, období nebo šarži materiálu a srovnatelnou výrobu. Smíšená zásilka s různými variantami nemusí tvořit jedinou homogenní dávku. Rozdělení na podskupiny je někdy nutné, aby se v celkovém průměru neskryla problémová část.</w:t>
      </w:r>
    </w:p>
    <w:p w14:paraId="526092E5" w14:textId="77777777" w:rsidR="00C701BE" w:rsidRPr="00B33274" w:rsidRDefault="00000000" w:rsidP="00DA3257">
      <w:pPr>
        <w:pStyle w:val="Nadpis2"/>
        <w:spacing w:before="0" w:line="240" w:lineRule="auto"/>
        <w:jc w:val="both"/>
      </w:pPr>
      <w:bookmarkStart w:id="131" w:name="_Toc243068692"/>
      <w:r w:rsidRPr="00B33274">
        <w:t>16.2 Náhodný a reprezentativní výběr</w:t>
      </w:r>
      <w:bookmarkEnd w:id="131"/>
    </w:p>
    <w:p w14:paraId="5DF0352E" w14:textId="77777777" w:rsidR="00C701BE" w:rsidRPr="00B33274" w:rsidRDefault="00000000" w:rsidP="00DA3257">
      <w:pPr>
        <w:spacing w:line="240" w:lineRule="auto"/>
        <w:jc w:val="both"/>
      </w:pPr>
      <w:r w:rsidRPr="00B33274">
        <w:t>Odběr nesmí zvýhodnit snadno dostupné nebo vzhledově nejlepší kusy. U několika palet určete postup, který zahrne různé části dodávky. Každý vybraný kus musí zůstat identifikovatelný. Pokud jsou některé jednotky nepřístupné, zaznamenejte omezení a posuďte, zda výběr stále odpovídá zamýšlenému závěru.</w:t>
      </w:r>
    </w:p>
    <w:p w14:paraId="63350551" w14:textId="77777777" w:rsidR="00C701BE" w:rsidRPr="00B33274" w:rsidRDefault="00000000" w:rsidP="00DA3257">
      <w:pPr>
        <w:spacing w:line="240" w:lineRule="auto"/>
        <w:jc w:val="both"/>
      </w:pPr>
      <w:r w:rsidRPr="00B33274">
        <w:t>Náhodný výběr neznamená nahodilé sáhnutí do horní vrstvy. Lze využít očíslování jednotek a generátor náhodných čísel nebo předem stanovený postup v rámci vhodně rozdělených skupin. Při systematickém výběru každého určitého kusu pozor na periodicitu výroby či balení, která by mohla výběr zkreslit.</w:t>
      </w:r>
    </w:p>
    <w:p w14:paraId="0419EBF1" w14:textId="77777777" w:rsidR="00C701BE" w:rsidRPr="00B33274" w:rsidRDefault="00000000" w:rsidP="00DA3257">
      <w:pPr>
        <w:pStyle w:val="Nadpis2"/>
        <w:spacing w:before="0" w:line="240" w:lineRule="auto"/>
        <w:jc w:val="both"/>
      </w:pPr>
      <w:bookmarkStart w:id="132" w:name="_Toc243068693"/>
      <w:r w:rsidRPr="00B33274">
        <w:t>16.3 Vady kusů a počty vad</w:t>
      </w:r>
      <w:bookmarkEnd w:id="132"/>
    </w:p>
    <w:p w14:paraId="717D2529" w14:textId="77777777" w:rsidR="00C701BE" w:rsidRPr="00B33274" w:rsidRDefault="00000000" w:rsidP="00DA3257">
      <w:pPr>
        <w:spacing w:line="240" w:lineRule="auto"/>
        <w:jc w:val="both"/>
      </w:pPr>
      <w:r w:rsidRPr="00B33274">
        <w:t>Rozlišujte neshodnou jednotku a jednotlivou neshodu. Jeden kus může mít několik vad, ale ve statistice neshodných kusů se započítá jednou. Při hodnocení počtu vad se naopak mohou započítat všechny zjištěné vady. Volba ukazatele mění význam přejímacího pravidla, a proto musí být známá před kontrolou.</w:t>
      </w:r>
    </w:p>
    <w:p w14:paraId="690780F7" w14:textId="77777777" w:rsidR="00C701BE" w:rsidRPr="00B33274" w:rsidRDefault="00000000" w:rsidP="00DA3257">
      <w:pPr>
        <w:spacing w:line="240" w:lineRule="auto"/>
        <w:jc w:val="both"/>
      </w:pPr>
      <w:r w:rsidRPr="00B33274">
        <w:t>Kritéria rozdělte podle důsledků. Nedostatečná bezpečnostní funkce a drobná vzhledová vada obvykle nemohou mít stejnou váhu. U vlastností, u nichž je výběrová přejímka nedostatečná, může být třeba jiný způsob zajištění, například kusové ověření nebo průběžně kontrolovaný výrobní proces. Klasifikaci vad sjednejte s dodavatelem.</w:t>
      </w:r>
    </w:p>
    <w:p w14:paraId="5FEB734C" w14:textId="77777777" w:rsidR="00C701BE" w:rsidRPr="00B33274" w:rsidRDefault="00000000" w:rsidP="00DA3257">
      <w:pPr>
        <w:pStyle w:val="Nadpis2"/>
        <w:spacing w:before="0" w:line="240" w:lineRule="auto"/>
        <w:jc w:val="both"/>
      </w:pPr>
      <w:bookmarkStart w:id="133" w:name="_Toc243068694"/>
      <w:r w:rsidRPr="00B33274">
        <w:lastRenderedPageBreak/>
        <w:t>16.4 Proč nulový nález neznamená bezvadnou dodávku</w:t>
      </w:r>
      <w:bookmarkEnd w:id="133"/>
    </w:p>
    <w:p w14:paraId="66B31634" w14:textId="77777777" w:rsidR="00C701BE" w:rsidRPr="00B33274" w:rsidRDefault="00000000" w:rsidP="00DA3257">
      <w:pPr>
        <w:spacing w:line="240" w:lineRule="auto"/>
        <w:jc w:val="both"/>
      </w:pPr>
      <w:r w:rsidRPr="00B33274">
        <w:t>Předpokládejme nezávislý výběr z velkého souboru, v němž je skutečný podíl neshodných kusů 5 %. Pravděpodobnost, že se mezi dvaceti vybranými kusy neobjeví ani jeden neshodný, je 0,95 umocněno na dvacátou, přibližně 36 %. Kontrola bez nálezu je tedy slučitelná i s takovým podílem vad. U menších konečných dávek se používá model respektující odběr bez vracení.</w:t>
      </w:r>
    </w:p>
    <w:p w14:paraId="7F67C2CC" w14:textId="77777777" w:rsidR="00C701BE" w:rsidRPr="00B33274" w:rsidRDefault="00000000" w:rsidP="00DA3257">
      <w:pPr>
        <w:spacing w:line="240" w:lineRule="auto"/>
        <w:jc w:val="both"/>
      </w:pPr>
      <w:r w:rsidRPr="00B33274">
        <w:t>Příklad neříká, jaký plán máte použít; ukazuje pouze význam rizika. Přejímací plán zvolte podle požadované ochrany odběratele a výrobce, povahy výrobku a příslušné normy nebo dohody. Výrazy typu AQL nevykládejte jako záruku, že každá přijatá dávka má právě takový nebo nižší podíl neshod.</w:t>
      </w:r>
    </w:p>
    <w:p w14:paraId="4AA8FA41" w14:textId="77777777" w:rsidR="00C701BE" w:rsidRPr="00B33274" w:rsidRDefault="00000000" w:rsidP="00DA3257">
      <w:pPr>
        <w:pStyle w:val="Nadpis2"/>
        <w:spacing w:before="0" w:line="240" w:lineRule="auto"/>
        <w:jc w:val="both"/>
      </w:pPr>
      <w:bookmarkStart w:id="134" w:name="_Toc243068695"/>
      <w:r w:rsidRPr="00B33274">
        <w:t>16.5 Co následuje po odmítnutí</w:t>
      </w:r>
      <w:bookmarkEnd w:id="134"/>
    </w:p>
    <w:p w14:paraId="4F956A0D" w14:textId="77777777" w:rsidR="00C701BE" w:rsidRPr="00B33274" w:rsidRDefault="00000000" w:rsidP="00DA3257">
      <w:pPr>
        <w:spacing w:line="240" w:lineRule="auto"/>
        <w:jc w:val="both"/>
      </w:pPr>
      <w:r w:rsidRPr="00B33274">
        <w:t>Předem sjednejte vrácení, třídění, opravu nebo opakované předložení dávky. Po vytřídění musí být zřejmé, jak byly kusy zkontrolovány a jak se zabrání jejich opětovnému smíchání. Opakovaný výběr ze stejné nezměněné dávky pouze v naději na lepší výsledek oslabuje původní pravidlo a nesmí být náhradou nápravy.</w:t>
      </w:r>
    </w:p>
    <w:p w14:paraId="321257C7" w14:textId="77777777" w:rsidR="00C701BE" w:rsidRPr="00B33274" w:rsidRDefault="00000000" w:rsidP="00DA3257">
      <w:pPr>
        <w:pStyle w:val="Nadpis1"/>
        <w:spacing w:before="0" w:line="240" w:lineRule="auto"/>
        <w:jc w:val="both"/>
      </w:pPr>
      <w:bookmarkStart w:id="135" w:name="_Toc243068426"/>
      <w:bookmarkStart w:id="136" w:name="_Toc243068696"/>
      <w:bookmarkStart w:id="137" w:name="_Toc243068783"/>
      <w:bookmarkStart w:id="138" w:name="_Toc243071050"/>
      <w:r w:rsidRPr="00B33274">
        <w:t>17 Posouzení měřicího systému</w:t>
      </w:r>
      <w:bookmarkEnd w:id="135"/>
      <w:bookmarkEnd w:id="136"/>
      <w:bookmarkEnd w:id="137"/>
      <w:bookmarkEnd w:id="138"/>
    </w:p>
    <w:p w14:paraId="04BE4C15" w14:textId="77777777" w:rsidR="00C701BE" w:rsidRPr="00B33274" w:rsidRDefault="00000000" w:rsidP="00DA3257">
      <w:pPr>
        <w:pStyle w:val="Nadpis2"/>
        <w:spacing w:before="0" w:line="240" w:lineRule="auto"/>
        <w:jc w:val="both"/>
      </w:pPr>
      <w:bookmarkStart w:id="139" w:name="_Toc243068697"/>
      <w:r w:rsidRPr="00B33274">
        <w:t>17.1 Měřidlo je jen část systému</w:t>
      </w:r>
      <w:bookmarkEnd w:id="139"/>
    </w:p>
    <w:p w14:paraId="13796C7E" w14:textId="77777777" w:rsidR="00C701BE" w:rsidRPr="00B33274" w:rsidRDefault="00000000" w:rsidP="00DA3257">
      <w:pPr>
        <w:spacing w:line="240" w:lineRule="auto"/>
        <w:jc w:val="both"/>
      </w:pPr>
      <w:r w:rsidRPr="00B33274">
        <w:t>Výsledek vzniká společným působením přístroje, přípravku, metody, operátora, prostředí, vzorku a zpracování dat. Kalibrace samotného přístroje proto ještě neprokazuje, že celý systém rozliší přípustné a nepřípustné výrobky. Chybu může vyvolat například proměnlivá přítlačná síla, nesprávné ustavení nebo rozdílné místo měření.</w:t>
      </w:r>
    </w:p>
    <w:p w14:paraId="3443CD5B" w14:textId="77777777" w:rsidR="00C701BE" w:rsidRPr="00B33274" w:rsidRDefault="00000000" w:rsidP="00DA3257">
      <w:pPr>
        <w:spacing w:line="240" w:lineRule="auto"/>
        <w:jc w:val="both"/>
      </w:pPr>
      <w:r w:rsidRPr="00B33274">
        <w:t>Při zavádění kontroly vyberte kusy pokrývající skutečný rozsah výroby. Měření pouze na jednom hladkém referenčním kusu nevystihne obtíže se členitým povrchem nebo s poddajnými součástmi. Zkoušené podmínky musí odpovídat běžné práci, včetně použitého přípravku a způsobu odečtu.</w:t>
      </w:r>
    </w:p>
    <w:p w14:paraId="2829DCA6" w14:textId="77777777" w:rsidR="00C701BE" w:rsidRPr="00B33274" w:rsidRDefault="00000000" w:rsidP="00DA3257">
      <w:pPr>
        <w:pStyle w:val="Nadpis2"/>
        <w:spacing w:before="0" w:line="240" w:lineRule="auto"/>
        <w:jc w:val="both"/>
      </w:pPr>
      <w:bookmarkStart w:id="140" w:name="_Toc243068698"/>
      <w:r w:rsidRPr="00B33274">
        <w:t>17.2 Opakovatelnost a rozdíly mezi pracovníky</w:t>
      </w:r>
      <w:bookmarkEnd w:id="140"/>
    </w:p>
    <w:p w14:paraId="690295CF" w14:textId="77777777" w:rsidR="00C701BE" w:rsidRPr="00B33274" w:rsidRDefault="00000000" w:rsidP="00DA3257">
      <w:pPr>
        <w:spacing w:line="240" w:lineRule="auto"/>
        <w:jc w:val="both"/>
      </w:pPr>
      <w:r w:rsidRPr="00B33274">
        <w:t>Opakovatelnost zjišťujte opakovaným měřením za vymezených stejných podmínek. Rozdíly při změně pracovníka, dne nebo jiných podmínek hodnotí další složky variability. V podnikových studiích se často sleduje zejména vliv operátora; v protokolu je však nutné přesně uvést, co se měnilo a co zůstalo stejné.</w:t>
      </w:r>
    </w:p>
    <w:p w14:paraId="233A074F" w14:textId="77777777" w:rsidR="00C701BE" w:rsidRPr="00B33274" w:rsidRDefault="00000000" w:rsidP="00DA3257">
      <w:pPr>
        <w:spacing w:line="240" w:lineRule="auto"/>
        <w:jc w:val="both"/>
      </w:pPr>
      <w:r w:rsidRPr="00B33274">
        <w:t xml:space="preserve">Praktická studie může zahrnovat několik pracovníků, stejnou sadu označených kusů a opakování v promíchaném pořadí. </w:t>
      </w:r>
      <w:proofErr w:type="gramStart"/>
      <w:r w:rsidRPr="00B33274">
        <w:t>Pracovník</w:t>
      </w:r>
      <w:proofErr w:type="gramEnd"/>
      <w:r w:rsidRPr="00B33274">
        <w:t xml:space="preserve"> pokud možno nezná předchozí hodnotu, aby se jí nevědomě nepřizpůsoboval. Studie musí umožnit oddělit rozdíly mezi kusy od rozdílů samotného měření. Počet pracovníků, kusů a opakování se volí podle cíle a potřebné věrohodnosti.</w:t>
      </w:r>
    </w:p>
    <w:p w14:paraId="043724C4" w14:textId="77777777" w:rsidR="00C701BE" w:rsidRPr="00B33274" w:rsidRDefault="00000000" w:rsidP="00DA3257">
      <w:pPr>
        <w:pStyle w:val="Nadpis2"/>
        <w:spacing w:before="0" w:line="240" w:lineRule="auto"/>
        <w:jc w:val="both"/>
      </w:pPr>
      <w:bookmarkStart w:id="141" w:name="_Toc243068699"/>
      <w:r w:rsidRPr="00B33274">
        <w:t>17.3 Co dělat s výsledkem studie</w:t>
      </w:r>
      <w:bookmarkEnd w:id="141"/>
    </w:p>
    <w:p w14:paraId="528A161E" w14:textId="77777777" w:rsidR="00C701BE" w:rsidRPr="00B33274" w:rsidRDefault="00000000" w:rsidP="00DA3257">
      <w:pPr>
        <w:spacing w:line="240" w:lineRule="auto"/>
        <w:jc w:val="both"/>
      </w:pPr>
      <w:r w:rsidRPr="00B33274">
        <w:t>Velký rozdíl mezi pracovníky může ukazovat na nejednoznačný pracovní postup nebo nevhodný přípravek. Velký rozptyl jednoho pracovníka může souviset s ustavením nebo rozlišením. Změna mezi dny upozorňuje na stabilitu přístroje nebo podmínky prostředí. Výsledek má vést ke konkrétní úpravě, například k určení měřicího místa nebo ke zlepšení teplotního ustálení.</w:t>
      </w:r>
    </w:p>
    <w:p w14:paraId="167F6F77" w14:textId="77777777" w:rsidR="00C701BE" w:rsidRPr="00B33274" w:rsidRDefault="00000000" w:rsidP="00DA3257">
      <w:pPr>
        <w:spacing w:line="240" w:lineRule="auto"/>
        <w:jc w:val="both"/>
      </w:pPr>
      <w:r w:rsidRPr="00B33274">
        <w:t>Poměr variability měření k toleranci nebo k variabilitě procesu je užitečný, ale není bez kontextu univerzální mezí přijatelnosti. Důležitý je účel kontroly a následky chybného rozhodnutí. Systém vhodný k orientačnímu seřizování nemusí být vhodný k přejímce těsně u toleranční meze. Uvedené poměry navíc nenahrazují úplný rozpočet nejistoty.</w:t>
      </w:r>
    </w:p>
    <w:p w14:paraId="31E3F7A8" w14:textId="77777777" w:rsidR="00C701BE" w:rsidRPr="00B33274" w:rsidRDefault="00000000" w:rsidP="00DA3257">
      <w:pPr>
        <w:pStyle w:val="Nadpis2"/>
        <w:spacing w:before="0" w:line="240" w:lineRule="auto"/>
        <w:jc w:val="both"/>
      </w:pPr>
      <w:bookmarkStart w:id="142" w:name="_Toc243068700"/>
      <w:r w:rsidRPr="00B33274">
        <w:t>17.4 Průběžné ověřování funkce</w:t>
      </w:r>
      <w:bookmarkEnd w:id="142"/>
    </w:p>
    <w:p w14:paraId="11A0B031" w14:textId="77777777" w:rsidR="00C701BE" w:rsidRPr="00B33274" w:rsidRDefault="00000000" w:rsidP="00DA3257">
      <w:pPr>
        <w:spacing w:line="240" w:lineRule="auto"/>
        <w:jc w:val="both"/>
      </w:pPr>
      <w:r w:rsidRPr="00B33274">
        <w:t>Mezi kalibracemi lze měřit kontrolní etalon nebo stabilní referenční předmět. Zaznamenávejte hodnoty v čase a určete meze pro reakci. Tato kontrola může včas odhalit změnu, ale její rozsah musí být známý: kontrolní kus v jednom bodě neprokazuje správnost celé stupnice ani funkci za všech provozních podmínek.</w:t>
      </w:r>
    </w:p>
    <w:p w14:paraId="5C93F834" w14:textId="77777777" w:rsidR="00C701BE" w:rsidRPr="00B33274" w:rsidRDefault="00000000" w:rsidP="00DA3257">
      <w:pPr>
        <w:spacing w:line="240" w:lineRule="auto"/>
        <w:jc w:val="both"/>
      </w:pPr>
      <w:r w:rsidRPr="00B33274">
        <w:t>Při nevyhovujícím kontrolním výsledku zastavte příslušnou kontrolu, prověřte etalon a měřidlo a vyhodnoťte dopad na výrobky od poslední vyhovující kontroly. Záložní přístroj lze použít až po ověření jeho vhodnosti. Přenesení práce na jiný kus stejného typu samo o sobě nezaručuje stejnou nejistotu ani stejné korekce.</w:t>
      </w:r>
    </w:p>
    <w:p w14:paraId="33A5C9C5" w14:textId="77777777" w:rsidR="00C701BE" w:rsidRPr="00B33274" w:rsidRDefault="00000000" w:rsidP="00DA3257">
      <w:pPr>
        <w:spacing w:line="240" w:lineRule="auto"/>
        <w:jc w:val="both"/>
      </w:pPr>
      <w:r w:rsidRPr="00B33274">
        <w:lastRenderedPageBreak/>
        <w:t>Dobře zavedený měřicí systém také obsahuje pravidla čištění, přepravy, zahřívání, nulování a ukládání. Tato běžná opatření často rozhodují o kvalitě výsledku více než nákup přístroje s jemnějším displejem.</w:t>
      </w:r>
    </w:p>
    <w:p w14:paraId="7A3A4D19" w14:textId="77777777" w:rsidR="00C701BE" w:rsidRPr="00B33274" w:rsidRDefault="00000000" w:rsidP="00DA3257">
      <w:pPr>
        <w:pStyle w:val="Nadpis1"/>
        <w:spacing w:before="0" w:line="240" w:lineRule="auto"/>
        <w:jc w:val="both"/>
      </w:pPr>
      <w:bookmarkStart w:id="143" w:name="_Toc243068427"/>
      <w:bookmarkStart w:id="144" w:name="_Toc243068701"/>
      <w:bookmarkStart w:id="145" w:name="_Toc243068784"/>
      <w:bookmarkStart w:id="146" w:name="_Toc243071051"/>
      <w:r w:rsidRPr="00B33274">
        <w:t>18 Validace a zavádění zkušebních metod</w:t>
      </w:r>
      <w:bookmarkEnd w:id="143"/>
      <w:bookmarkEnd w:id="144"/>
      <w:bookmarkEnd w:id="145"/>
      <w:bookmarkEnd w:id="146"/>
    </w:p>
    <w:p w14:paraId="29ACC3AD" w14:textId="77777777" w:rsidR="00C701BE" w:rsidRPr="00B33274" w:rsidRDefault="00000000" w:rsidP="00DA3257">
      <w:pPr>
        <w:pStyle w:val="Nadpis2"/>
        <w:spacing w:before="0" w:line="240" w:lineRule="auto"/>
        <w:jc w:val="both"/>
      </w:pPr>
      <w:bookmarkStart w:id="147" w:name="_Toc243068702"/>
      <w:r w:rsidRPr="00B33274">
        <w:t>18.1 Otázka vhodnosti pro konkrétní účel</w:t>
      </w:r>
      <w:bookmarkEnd w:id="147"/>
    </w:p>
    <w:p w14:paraId="63DB869B" w14:textId="77777777" w:rsidR="00C701BE" w:rsidRPr="00B33274" w:rsidRDefault="00000000" w:rsidP="00DA3257">
      <w:pPr>
        <w:spacing w:line="240" w:lineRule="auto"/>
        <w:jc w:val="both"/>
      </w:pPr>
      <w:r w:rsidRPr="00B33274">
        <w:t>Metoda musí poskytovat údaje použitelné pro zamýšlené rozhodnutí. Nestačí, že je známá nebo moderní. Potřebná je vhodná měřená vlastnost, rozsah, citlivost, nejistota, kapacita a odolnost vůči podmínkám skutečných vzorků. Při zavádění normové metody laboratoř prokazuje, že ji dokáže správně provádět. U vlastní, změněné nebo mimo původní rozsah použité metody je nutné odpovídající ověření vhodnosti. [16]</w:t>
      </w:r>
    </w:p>
    <w:p w14:paraId="77C7E270" w14:textId="77777777" w:rsidR="00C701BE" w:rsidRPr="00B33274" w:rsidRDefault="00000000" w:rsidP="00DA3257">
      <w:pPr>
        <w:spacing w:line="240" w:lineRule="auto"/>
        <w:jc w:val="both"/>
      </w:pPr>
      <w:r w:rsidRPr="00B33274">
        <w:t>Rozsah validace se stanoví předem podle toho, co je nové a co již bylo doloženo. Není účelné bez důvodu opakovat všechny známé studie, ale nelze ani převzít výsledky jiné laboratoře bez posouzení vybavení, pracovníků a vzorků. Změna matrice při chemické analýze může například zásadně ovlivnit výsledek, i když přístroj a výpočet zůstaly stejné.</w:t>
      </w:r>
    </w:p>
    <w:p w14:paraId="4A46E5BD" w14:textId="77777777" w:rsidR="00C701BE" w:rsidRPr="00B33274" w:rsidRDefault="00000000" w:rsidP="00DA3257">
      <w:pPr>
        <w:pStyle w:val="Nadpis2"/>
        <w:spacing w:before="0" w:line="240" w:lineRule="auto"/>
        <w:jc w:val="both"/>
      </w:pPr>
      <w:bookmarkStart w:id="148" w:name="_Toc243068703"/>
      <w:r w:rsidRPr="00B33274">
        <w:t>18.2 Vlastnosti metody</w:t>
      </w:r>
      <w:bookmarkEnd w:id="148"/>
    </w:p>
    <w:p w14:paraId="1CE851AA" w14:textId="77777777" w:rsidR="00C701BE" w:rsidRPr="00B33274" w:rsidRDefault="00000000" w:rsidP="00DA3257">
      <w:pPr>
        <w:spacing w:line="240" w:lineRule="auto"/>
        <w:jc w:val="both"/>
      </w:pPr>
      <w:r w:rsidRPr="00B33274">
        <w:t>V analytickém měření se posuzuje například selektivita, pracovní rozsah, preciznost, vychýlení, mez detekce, mez stanovitelnosti a robustnost. Jejich význam musí odpovídat konkrétní metodě. Mez detekce vypovídá o možnosti odlišit signál od pozadí za určitých podmínek; mez stanovitelnosti souvisí s dosažením přijatelné kvantitativní výkonnosti. Výsledek mezi těmito mezemi nelze bez rozlišení uvést jako plnohodnotný kvantitativní údaj.</w:t>
      </w:r>
    </w:p>
    <w:p w14:paraId="17919D9C" w14:textId="77777777" w:rsidR="00C701BE" w:rsidRPr="00B33274" w:rsidRDefault="00000000" w:rsidP="00DA3257">
      <w:pPr>
        <w:spacing w:line="240" w:lineRule="auto"/>
        <w:jc w:val="both"/>
      </w:pPr>
      <w:r w:rsidRPr="00B33274">
        <w:t>U mechanické metody může být rozhodující citlivost na upnutí, rychlost zatěžování, rozměr vzorku a stav povrchu. U těsnostní zkoušky může výsledek ovlivnit teplota, ustálení a charakter detekovaného úniku. V každém oboru je třeba určit vlivy, které mění význam výsledku, nikoli pouze převzít seznam charakteristik z jiného typu zkoušení.</w:t>
      </w:r>
    </w:p>
    <w:p w14:paraId="48581BA6" w14:textId="77777777" w:rsidR="00C701BE" w:rsidRPr="00B33274" w:rsidRDefault="00000000" w:rsidP="00DA3257">
      <w:pPr>
        <w:pStyle w:val="Nadpis2"/>
        <w:spacing w:before="0" w:line="240" w:lineRule="auto"/>
        <w:jc w:val="both"/>
      </w:pPr>
      <w:bookmarkStart w:id="149" w:name="_Toc243068704"/>
      <w:r w:rsidRPr="00B33274">
        <w:t>18.3 Plán validační studie</w:t>
      </w:r>
      <w:bookmarkEnd w:id="149"/>
    </w:p>
    <w:p w14:paraId="77298F0F" w14:textId="77777777" w:rsidR="00C701BE" w:rsidRPr="00B33274" w:rsidRDefault="00000000" w:rsidP="00DA3257">
      <w:pPr>
        <w:spacing w:line="240" w:lineRule="auto"/>
        <w:jc w:val="both"/>
      </w:pPr>
      <w:r w:rsidRPr="00B33274">
        <w:t>Plán určí účel, požadované vlastnosti, hodnoticí meze, sadu vzorků, počet opakování, odpovědnosti a způsob výpočtu. Zahrne běžné i nepříznivé, ale realistické podmínky. U pracovního rozsahu ověřte více úrovní; dobrá shoda v jediném bodě není důkazem vhodnosti v celém rozsahu. U porovnání metod dbejte na to, aby obě skutečně měřily stejnou vlastnost.</w:t>
      </w:r>
    </w:p>
    <w:p w14:paraId="106237E6" w14:textId="77777777" w:rsidR="00C701BE" w:rsidRPr="00B33274" w:rsidRDefault="00000000" w:rsidP="00DA3257">
      <w:pPr>
        <w:spacing w:line="240" w:lineRule="auto"/>
        <w:jc w:val="both"/>
      </w:pPr>
      <w:r w:rsidRPr="00B33274">
        <w:t>Kritéria stanovte před vyhodnocením. Pokud studie nevyhoví, lze metodu upravit nebo omezit její použití, ale nesmí se pouze dodatečně zmírnit mez, aby výsledky působily příznivě. Změna účelu metody může být legitimní; musí však být výslovně popsána a schválena.</w:t>
      </w:r>
    </w:p>
    <w:p w14:paraId="2307395D" w14:textId="77777777" w:rsidR="00C701BE" w:rsidRPr="00B33274" w:rsidRDefault="00000000" w:rsidP="00DA3257">
      <w:pPr>
        <w:pStyle w:val="Nadpis2"/>
        <w:spacing w:before="0" w:line="240" w:lineRule="auto"/>
        <w:jc w:val="both"/>
      </w:pPr>
      <w:bookmarkStart w:id="150" w:name="_Toc243068705"/>
      <w:r w:rsidRPr="00B33274">
        <w:t>18.4 Uvedení metody do běžného provozu</w:t>
      </w:r>
      <w:bookmarkEnd w:id="150"/>
    </w:p>
    <w:p w14:paraId="67307136" w14:textId="77777777" w:rsidR="00C701BE" w:rsidRPr="00B33274" w:rsidRDefault="00000000" w:rsidP="00DA3257">
      <w:pPr>
        <w:spacing w:line="240" w:lineRule="auto"/>
        <w:jc w:val="both"/>
      </w:pPr>
      <w:r w:rsidRPr="00B33274">
        <w:t>Schválený postup musí obsahovat přípravu vzorku, podmínky, kontrolní měření, výpočty a způsob hlášení. Pracovníci musí prokázat, že postup ovládají. Při převodu do provozu se určí kontrolní vzorky, četnost jejich používání, kritéria a reakce na nevyhovující stav. Validační zpráva tedy není závěrem péče o metodu, ale podkladem pro její řízené používání.</w:t>
      </w:r>
    </w:p>
    <w:p w14:paraId="487408F2" w14:textId="77777777" w:rsidR="00C701BE" w:rsidRPr="00B33274" w:rsidRDefault="00000000" w:rsidP="00DA3257">
      <w:pPr>
        <w:spacing w:line="240" w:lineRule="auto"/>
        <w:jc w:val="both"/>
      </w:pPr>
      <w:r w:rsidRPr="00B33274">
        <w:t>Po změně přístroje, činidla, softwaru nebo postupu posuďte rozsah opětovného ověření. Drobné změny mohou vyžadovat pouze cílenou kontrolu; významná změna principu nebo rozsahu vyžaduje širší posouzení. Uchovávejte vazbu mezi verzí postupu, validačním důkazem a datem, od něhož se metoda používá. [17]</w:t>
      </w:r>
    </w:p>
    <w:p w14:paraId="26880E12" w14:textId="77777777" w:rsidR="00C701BE" w:rsidRPr="00B33274" w:rsidRDefault="00000000" w:rsidP="00DA3257">
      <w:pPr>
        <w:pStyle w:val="Nadpis1"/>
        <w:spacing w:before="0" w:line="240" w:lineRule="auto"/>
        <w:jc w:val="both"/>
      </w:pPr>
      <w:bookmarkStart w:id="151" w:name="_Toc243068428"/>
      <w:bookmarkStart w:id="152" w:name="_Toc243068706"/>
      <w:bookmarkStart w:id="153" w:name="_Toc243068785"/>
      <w:bookmarkStart w:id="154" w:name="_Toc243071052"/>
      <w:r w:rsidRPr="00B33274">
        <w:t>19 Organizace práce zkušební laboratoře</w:t>
      </w:r>
      <w:bookmarkEnd w:id="151"/>
      <w:bookmarkEnd w:id="152"/>
      <w:bookmarkEnd w:id="153"/>
      <w:bookmarkEnd w:id="154"/>
    </w:p>
    <w:p w14:paraId="4C90A06E" w14:textId="77777777" w:rsidR="00C701BE" w:rsidRPr="00B33274" w:rsidRDefault="00000000" w:rsidP="00DA3257">
      <w:pPr>
        <w:pStyle w:val="Nadpis2"/>
        <w:spacing w:before="0" w:line="240" w:lineRule="auto"/>
        <w:jc w:val="both"/>
      </w:pPr>
      <w:bookmarkStart w:id="155" w:name="_Toc243068707"/>
      <w:r w:rsidRPr="00B33274">
        <w:t>19.1 Přijetí zakázky a kontrola kapacity</w:t>
      </w:r>
      <w:bookmarkEnd w:id="155"/>
    </w:p>
    <w:p w14:paraId="63677845" w14:textId="77777777" w:rsidR="00C701BE" w:rsidRPr="00B33274" w:rsidRDefault="00000000" w:rsidP="00DA3257">
      <w:pPr>
        <w:spacing w:line="240" w:lineRule="auto"/>
        <w:jc w:val="both"/>
      </w:pPr>
      <w:r w:rsidRPr="00B33274">
        <w:t>Před přijetím zakázky laboratoř prověří srozumitelnost požadavku, dostupnost metody, vybavení, pracovníků a času. Nestačí ověřit volný termín přístroje. Zkouška může vyžadovat přípravu vzorku, klimatické ustálení, souběžnou práci více osob nebo následné odborné hodnocení. Kapacitní plán musí zahrnovat celý postup až po schválení zprávy.</w:t>
      </w:r>
    </w:p>
    <w:p w14:paraId="137DE6E1" w14:textId="77777777" w:rsidR="00C701BE" w:rsidRPr="00B33274" w:rsidRDefault="00000000" w:rsidP="00DA3257">
      <w:pPr>
        <w:spacing w:line="240" w:lineRule="auto"/>
        <w:jc w:val="both"/>
      </w:pPr>
      <w:r w:rsidRPr="00B33274">
        <w:lastRenderedPageBreak/>
        <w:t>Nejasnosti se řeší před zahájením. Pokud zákazník žádá „potvrzení jakosti“, musí se dohodnout konkrétní vlastnost a kritérium. Pokud přinese neoznačený vzorek, je třeba vyjasnit jeho identitu a omezení závěru. Přijetí vadně připraveného vzorku může být možné pro určitou orientační informaci, ale nesmí vytvářet dojem, že byly splněny původní přejímací podmínky.</w:t>
      </w:r>
    </w:p>
    <w:p w14:paraId="600F0A39" w14:textId="77777777" w:rsidR="00C701BE" w:rsidRPr="00B33274" w:rsidRDefault="00000000" w:rsidP="00DA3257">
      <w:pPr>
        <w:pStyle w:val="Nadpis2"/>
        <w:spacing w:before="0" w:line="240" w:lineRule="auto"/>
        <w:jc w:val="both"/>
      </w:pPr>
      <w:bookmarkStart w:id="156" w:name="_Toc243068708"/>
      <w:r w:rsidRPr="00B33274">
        <w:t>19.2 Tok vzorku pracovištěm</w:t>
      </w:r>
      <w:bookmarkEnd w:id="156"/>
    </w:p>
    <w:p w14:paraId="3C08074C" w14:textId="77777777" w:rsidR="00C701BE" w:rsidRPr="00B33274" w:rsidRDefault="00000000" w:rsidP="00DA3257">
      <w:pPr>
        <w:spacing w:line="240" w:lineRule="auto"/>
        <w:jc w:val="both"/>
      </w:pPr>
      <w:r w:rsidRPr="00B33274">
        <w:t>Vzorek při příjmu dostane jedinečnou identifikaci propojenou s objednávkou. Zaznamená se jeho stav, množství, obal a případné poškození. Následně se určí místo uložení a režim ochrany před změnou vlastností. Vzorky určené k různým metodám musí být rozděleny tak, aby příprava pro jednu zkoušku neznemožnila jinou.</w:t>
      </w:r>
    </w:p>
    <w:p w14:paraId="1B0CB93E" w14:textId="77777777" w:rsidR="00C701BE" w:rsidRPr="00B33274" w:rsidRDefault="00000000" w:rsidP="00DA3257">
      <w:pPr>
        <w:spacing w:line="240" w:lineRule="auto"/>
        <w:jc w:val="both"/>
      </w:pPr>
      <w:r w:rsidRPr="00B33274">
        <w:t>Při předání mezi pracovníky se zachová návaznost záznamů. Nesmí vzniknout situace, kdy je výsledek přiřazen pouze podle polohy vzorku na stole nebo podle neformální poznámky. U více podobných kusů pomáhá odolné označení a záznam rozmístění, ale ani fotografie nemusí sama stačit, jestliže se kusy při manipulaci zamění.</w:t>
      </w:r>
    </w:p>
    <w:p w14:paraId="522B2FB4" w14:textId="77777777" w:rsidR="00C701BE" w:rsidRPr="00B33274" w:rsidRDefault="00000000" w:rsidP="00DA3257">
      <w:pPr>
        <w:spacing w:line="240" w:lineRule="auto"/>
        <w:jc w:val="both"/>
      </w:pPr>
      <w:r w:rsidRPr="00B33274">
        <w:t>Po dokončení se postupuje podle dohody a povahy materiálu. Je třeba určit dobu uchování, vrácení nebo likvidaci, podmínky pro případné opakování a zacházení se zbytky po destruktivních zkouškách. U nebezpečných látek a kontaminovaných vzorků musí organizace respektovat příslušná pravidla nakládání; zakázkový postup nemůže tato pravidla nahradit.</w:t>
      </w:r>
    </w:p>
    <w:p w14:paraId="5DD1DE5C" w14:textId="77777777" w:rsidR="00C701BE" w:rsidRPr="00B33274" w:rsidRDefault="00000000" w:rsidP="00DA3257">
      <w:pPr>
        <w:pStyle w:val="Nadpis2"/>
        <w:spacing w:before="0" w:line="240" w:lineRule="auto"/>
        <w:jc w:val="both"/>
      </w:pPr>
      <w:bookmarkStart w:id="157" w:name="_Toc243068709"/>
      <w:r w:rsidRPr="00B33274">
        <w:t>19.3 Kompetence a zastupitelnost</w:t>
      </w:r>
      <w:bookmarkEnd w:id="157"/>
    </w:p>
    <w:p w14:paraId="574C64AF" w14:textId="77777777" w:rsidR="00C701BE" w:rsidRPr="00B33274" w:rsidRDefault="00000000" w:rsidP="00DA3257">
      <w:pPr>
        <w:spacing w:line="240" w:lineRule="auto"/>
        <w:jc w:val="both"/>
      </w:pPr>
      <w:r w:rsidRPr="00B33274">
        <w:t>Pro každou metodu stanovte, kdo ji smí provádět, kdo vyhodnocovat a kdo schvalovat výsledek. Zaškolení se nedokládá jen účastí na školení. Pracovník má prakticky předvést správné provedení a porozumění rozhodujícím vlivům. Samostatné oprávnění se uděluje v rozsahu, který byl skutečně ověřen.</w:t>
      </w:r>
    </w:p>
    <w:p w14:paraId="28BF71AE" w14:textId="77777777" w:rsidR="00C701BE" w:rsidRPr="00B33274" w:rsidRDefault="00000000" w:rsidP="00DA3257">
      <w:pPr>
        <w:spacing w:line="240" w:lineRule="auto"/>
        <w:jc w:val="both"/>
      </w:pPr>
      <w:r w:rsidRPr="00B33274">
        <w:t>Při delším přerušení práce nebo změně metody posuďte potřebu nového ověření dovedností. Zastupitelnost plánujte zejména u úkonů, které jinak závisí na jediné osobě. Technická kontinuita neznamená, že kdokoli může podepsat libovolný protokol; znamená dostupnost odpovídajícím způsobem připravené náhrady.</w:t>
      </w:r>
    </w:p>
    <w:p w14:paraId="5378ED76" w14:textId="77777777" w:rsidR="00C701BE" w:rsidRPr="00B33274" w:rsidRDefault="00000000" w:rsidP="00DA3257">
      <w:pPr>
        <w:pStyle w:val="Nadpis2"/>
        <w:spacing w:before="0" w:line="240" w:lineRule="auto"/>
        <w:jc w:val="both"/>
      </w:pPr>
      <w:bookmarkStart w:id="158" w:name="_Toc243068710"/>
      <w:r w:rsidRPr="00B33274">
        <w:t>19.4 Nestrannost a důvěrnost</w:t>
      </w:r>
      <w:bookmarkEnd w:id="158"/>
    </w:p>
    <w:p w14:paraId="613AAC1F" w14:textId="77777777" w:rsidR="00C701BE" w:rsidRPr="00B33274" w:rsidRDefault="00000000" w:rsidP="00DA3257">
      <w:pPr>
        <w:spacing w:line="240" w:lineRule="auto"/>
        <w:jc w:val="both"/>
      </w:pPr>
      <w:r w:rsidRPr="00B33274">
        <w:t>Obchodní tlak nesmí ovlivnit výsledek. Pracoviště potřebuje postup pro situaci, kdy zákazník požaduje odstranění nevyhovující hodnoty nebo účelovou změnu závěru. Přípustné je odborné vysvětlení a dohledatelná oprava chyby. Nepřípustné je přizpůsobení dat očekávanému výsledku.</w:t>
      </w:r>
    </w:p>
    <w:p w14:paraId="22E9FC74" w14:textId="77777777" w:rsidR="00C701BE" w:rsidRPr="00B33274" w:rsidRDefault="00000000" w:rsidP="00DA3257">
      <w:pPr>
        <w:spacing w:line="240" w:lineRule="auto"/>
        <w:jc w:val="both"/>
      </w:pPr>
      <w:r w:rsidRPr="00B33274">
        <w:t>Přístup k údajům o zakázce má odpovídat pracovní roli. Při externím sdílení fotografií, protokolů nebo surových dat ověřte oprávnění a účel. Důvěrnost a transparentnost vůči zákazníkovi se nevylučují: zákazník má dostat srozumitelný výsledek své zakázky, ale nesmí získat cizí údaje, které pro jeho posouzení nejsou potřebné.</w:t>
      </w:r>
    </w:p>
    <w:p w14:paraId="0586A3CB" w14:textId="77777777" w:rsidR="00C701BE" w:rsidRPr="00B33274" w:rsidRDefault="00000000" w:rsidP="00DA3257">
      <w:pPr>
        <w:pStyle w:val="Nadpis2"/>
        <w:spacing w:before="0" w:line="240" w:lineRule="auto"/>
        <w:jc w:val="both"/>
      </w:pPr>
      <w:bookmarkStart w:id="159" w:name="_Toc243068711"/>
      <w:r w:rsidRPr="00B33274">
        <w:t>19.5 Interní prověrka</w:t>
      </w:r>
      <w:bookmarkEnd w:id="159"/>
    </w:p>
    <w:p w14:paraId="19465853" w14:textId="77777777" w:rsidR="00C701BE" w:rsidRPr="00B33274" w:rsidRDefault="00000000" w:rsidP="00DA3257">
      <w:pPr>
        <w:spacing w:line="240" w:lineRule="auto"/>
        <w:jc w:val="both"/>
      </w:pPr>
      <w:r w:rsidRPr="00B33274">
        <w:t>Pravidelná interní prověrka má sledovat skutečnou cestu vzorku a výsledku, nejen existenci směrnic. Vyberte dokončenou zakázku a ověřte objednávku, identitu, data, měřidla, výpočet a schválení. Zvláštní pozornost věnujte odchylkám a opravám. Dobře doložený problém, z něhož vzniklo účinné opatření, je pro řízení cennější než formálně bezchybný seznam bez vazby na praxi.</w:t>
      </w:r>
    </w:p>
    <w:p w14:paraId="3AB716C2" w14:textId="77777777" w:rsidR="00C701BE" w:rsidRPr="00B33274" w:rsidRDefault="00000000" w:rsidP="00DA3257">
      <w:pPr>
        <w:pStyle w:val="Nadpis1"/>
        <w:spacing w:before="0" w:line="240" w:lineRule="auto"/>
        <w:jc w:val="both"/>
      </w:pPr>
      <w:bookmarkStart w:id="160" w:name="_Toc243068429"/>
      <w:bookmarkStart w:id="161" w:name="_Toc243068712"/>
      <w:bookmarkStart w:id="162" w:name="_Toc243068786"/>
      <w:bookmarkStart w:id="163" w:name="_Toc243071053"/>
      <w:r w:rsidRPr="00B33274">
        <w:t>20 Ověřování platnosti výsledků a porovnávání pracovišť</w:t>
      </w:r>
      <w:bookmarkEnd w:id="160"/>
      <w:bookmarkEnd w:id="161"/>
      <w:bookmarkEnd w:id="162"/>
      <w:bookmarkEnd w:id="163"/>
    </w:p>
    <w:p w14:paraId="1CF0E992" w14:textId="77777777" w:rsidR="00C701BE" w:rsidRPr="00B33274" w:rsidRDefault="00000000" w:rsidP="00DA3257">
      <w:pPr>
        <w:pStyle w:val="Nadpis2"/>
        <w:spacing w:before="0" w:line="240" w:lineRule="auto"/>
        <w:jc w:val="both"/>
      </w:pPr>
      <w:bookmarkStart w:id="164" w:name="_Toc243068713"/>
      <w:r w:rsidRPr="00B33274">
        <w:t>20.1 Proč kontrolovat i zdánlivě bezproblémovou metodu</w:t>
      </w:r>
      <w:bookmarkEnd w:id="164"/>
    </w:p>
    <w:p w14:paraId="613D3864" w14:textId="77777777" w:rsidR="00C701BE" w:rsidRPr="00B33274" w:rsidRDefault="00000000" w:rsidP="00DA3257">
      <w:pPr>
        <w:spacing w:line="240" w:lineRule="auto"/>
        <w:jc w:val="both"/>
      </w:pPr>
      <w:r w:rsidRPr="00B33274">
        <w:t>Zkouška může dlouho poskytovat věrohodně vypadající hodnoty, přestože se její výsledek pomalu posouvá. Příčinou bývá opotřebení, změna prostředí, zhoršení referenčního materiálu nebo chyba výpočtu. Průběžné ověřování platnosti proto musí být součástí běžného provozu a musí zachytit i změny, které nevedou k okamžité poruše přístroje.</w:t>
      </w:r>
    </w:p>
    <w:p w14:paraId="04A93092" w14:textId="77777777" w:rsidR="00C701BE" w:rsidRPr="00B33274" w:rsidRDefault="00000000" w:rsidP="00DA3257">
      <w:pPr>
        <w:spacing w:line="240" w:lineRule="auto"/>
        <w:jc w:val="both"/>
      </w:pPr>
      <w:r w:rsidRPr="00B33274">
        <w:t>Podle metody lze používat kontrolní vzorky, opakované zkoušky, slepé vzorky, referenční materiály, porovnání různých postupů nebo zkoušení způsobilosti. Žádný nástroj neověřuje automaticky všechny vlivy. Například slepý vzorek může dobře odhalit kontaminaci, ale nemusí ověřit správnost výsledku při vysoké koncentraci.</w:t>
      </w:r>
    </w:p>
    <w:p w14:paraId="69B8F527" w14:textId="77777777" w:rsidR="00C701BE" w:rsidRPr="00B33274" w:rsidRDefault="00000000" w:rsidP="00DA3257">
      <w:pPr>
        <w:pStyle w:val="Nadpis2"/>
        <w:spacing w:before="0" w:line="240" w:lineRule="auto"/>
        <w:jc w:val="both"/>
      </w:pPr>
      <w:bookmarkStart w:id="165" w:name="_Toc243068714"/>
      <w:r w:rsidRPr="00B33274">
        <w:lastRenderedPageBreak/>
        <w:t>20.2 Kontrolní materiály a jejich stabilita</w:t>
      </w:r>
      <w:bookmarkEnd w:id="165"/>
    </w:p>
    <w:p w14:paraId="77A1C822" w14:textId="77777777" w:rsidR="00C701BE" w:rsidRPr="00B33274" w:rsidRDefault="00000000" w:rsidP="00DA3257">
      <w:pPr>
        <w:spacing w:line="240" w:lineRule="auto"/>
        <w:jc w:val="both"/>
      </w:pPr>
      <w:r w:rsidRPr="00B33274">
        <w:t>Kontrolní materiál má mít dostatečnou homogenitu a stabilitu pro zamýšlený účel. Evidujte původ, šarži, podmínky skladování, otevření a dobu použití. Pokud se sám mění, může graf vyvolat falešný dojem poruchy metody nebo naopak skutečnou poruchu zakrýt. Při přechodu na novou šarži je vhodné zajistit překryv a srovnání.</w:t>
      </w:r>
    </w:p>
    <w:p w14:paraId="1487C0EE" w14:textId="77777777" w:rsidR="00C701BE" w:rsidRPr="00B33274" w:rsidRDefault="00000000" w:rsidP="00DA3257">
      <w:pPr>
        <w:spacing w:line="240" w:lineRule="auto"/>
        <w:jc w:val="both"/>
      </w:pPr>
      <w:r w:rsidRPr="00B33274">
        <w:t>Rozlišujte materiál použitý k nastavení kalibrace a materiál použitý k nezávislé kontrole. Je-li kontrola založena na témže chybném vstupu jako kalibrace, může být zdánlivě vyhovující. Nezávislost se posuzuje věcně: jiná etiketa nebo jiný obal ještě nemusí znamenat skutečně nezávislý původ referenční hodnoty.</w:t>
      </w:r>
    </w:p>
    <w:p w14:paraId="3701389D" w14:textId="77777777" w:rsidR="00C701BE" w:rsidRPr="00B33274" w:rsidRDefault="00000000" w:rsidP="00DA3257">
      <w:pPr>
        <w:pStyle w:val="Nadpis2"/>
        <w:spacing w:before="0" w:line="240" w:lineRule="auto"/>
        <w:jc w:val="both"/>
      </w:pPr>
      <w:bookmarkStart w:id="166" w:name="_Toc243068715"/>
      <w:r w:rsidRPr="00B33274">
        <w:t>20.3 Zkoušení způsobilosti</w:t>
      </w:r>
      <w:bookmarkEnd w:id="166"/>
    </w:p>
    <w:p w14:paraId="44E5A3D2" w14:textId="77777777" w:rsidR="00C701BE" w:rsidRPr="00B33274" w:rsidRDefault="00000000" w:rsidP="00DA3257">
      <w:pPr>
        <w:spacing w:line="240" w:lineRule="auto"/>
        <w:jc w:val="both"/>
      </w:pPr>
      <w:r w:rsidRPr="00B33274">
        <w:t>Mezilaboratorní porovnání může ukázat, zda se výsledek pracoviště odlišuje od přiřazené hodnoty nebo od ostatních účastníků. Před účastí ověřte, zda program odpovídá měřené vlastnosti, matrici, rozsahu a používané metodě. Příznivý výsledek ve vzdáleném oboru neprokazuje způsobilost pro skutečně objednávanou zkoušku. [18]</w:t>
      </w:r>
    </w:p>
    <w:p w14:paraId="38CA7F63" w14:textId="77777777" w:rsidR="00C701BE" w:rsidRPr="00B33274" w:rsidRDefault="00000000" w:rsidP="00DA3257">
      <w:pPr>
        <w:spacing w:line="240" w:lineRule="auto"/>
        <w:jc w:val="both"/>
      </w:pPr>
      <w:r w:rsidRPr="00B33274">
        <w:t>Výsledek posuzujte podle pravidel organizátora včetně nejistoty přiřazené hodnoty a vhodnosti statistického vyhodnocení. Hodnoticí skóre je podnětem k odbornému závěru, nikoli samoúčelnou známkou. Nevyhovění je třeba prověřit od příjmu vzorku přes výpočet až po odeslání výsledku. Příčinou může být samotná metoda i chyba identifikace nebo přepisu.</w:t>
      </w:r>
    </w:p>
    <w:p w14:paraId="4B85D979" w14:textId="77777777" w:rsidR="00C701BE" w:rsidRPr="00B33274" w:rsidRDefault="00000000" w:rsidP="00DA3257">
      <w:pPr>
        <w:pStyle w:val="Nadpis2"/>
        <w:spacing w:before="0" w:line="240" w:lineRule="auto"/>
        <w:jc w:val="both"/>
      </w:pPr>
      <w:bookmarkStart w:id="167" w:name="_Toc243068716"/>
      <w:r w:rsidRPr="00B33274">
        <w:t>20.4 Rozdíl mezi dvěma laboratořemi</w:t>
      </w:r>
      <w:bookmarkEnd w:id="167"/>
    </w:p>
    <w:p w14:paraId="68F4CEFF" w14:textId="77777777" w:rsidR="00C701BE" w:rsidRPr="00B33274" w:rsidRDefault="00000000" w:rsidP="00DA3257">
      <w:pPr>
        <w:spacing w:line="240" w:lineRule="auto"/>
        <w:jc w:val="both"/>
      </w:pPr>
      <w:r w:rsidRPr="00B33274">
        <w:t>Dvě odlišná čísla nemusí znamenat, že jedno pracoviště měří špatně. Nejprve ověřte, zda šlo o srovnatelný vzorek, stejné vymezení veličiny, stejnou metodu a odpovídající čas. U nehomogenního nebo nestabilního materiálu může být rozdíl způsoben samotným předmětem zkoušení.</w:t>
      </w:r>
    </w:p>
    <w:p w14:paraId="12B5F6E3" w14:textId="77777777" w:rsidR="00C701BE" w:rsidRPr="00B33274" w:rsidRDefault="00000000" w:rsidP="00DA3257">
      <w:pPr>
        <w:spacing w:line="240" w:lineRule="auto"/>
        <w:jc w:val="both"/>
      </w:pPr>
      <w:r w:rsidRPr="00B33274">
        <w:t>Teprve poté porovnávejte rozdíl s nejistotami a vhodným statistickým modelem. Prosté překrytí intervalů je orientační pohled, nikoli univerzální test. Mohou existovat také společné korelované vlivy. U sporu předem sjednejte odběr, rozdělení a uchování vzorků, rozhodnou metodu a způsob vyhodnocení. Třetí laboratoř bez takové dohody nemusí spor vyřešit.</w:t>
      </w:r>
    </w:p>
    <w:p w14:paraId="69CD2BAB" w14:textId="77777777" w:rsidR="00C701BE" w:rsidRPr="00B33274" w:rsidRDefault="00000000" w:rsidP="00DA3257">
      <w:pPr>
        <w:pStyle w:val="Nadpis2"/>
        <w:spacing w:before="0" w:line="240" w:lineRule="auto"/>
        <w:jc w:val="both"/>
      </w:pPr>
      <w:bookmarkStart w:id="168" w:name="_Toc243068717"/>
      <w:r w:rsidRPr="00B33274">
        <w:t>20.5 Opatření a sledování trendu</w:t>
      </w:r>
      <w:bookmarkEnd w:id="168"/>
    </w:p>
    <w:p w14:paraId="7F112AB7" w14:textId="77777777" w:rsidR="00C701BE" w:rsidRPr="00B33274" w:rsidRDefault="00000000" w:rsidP="00DA3257">
      <w:pPr>
        <w:spacing w:line="240" w:lineRule="auto"/>
        <w:jc w:val="both"/>
      </w:pPr>
      <w:r w:rsidRPr="00B33274">
        <w:t>Jednotlivé kontrolní výsledky ukládejte tak, aby bylo možné sledovat dlouhodobý vývoj. Při zhoršení určete období a dotčené zakázky. Po nápravě neuzavírejte problém pouze jedním příznivým bodem, pokud příčina vyžaduje ověření stability. Rozsah následného sledování má odpovídat původnímu problému a důsledkům případného opakování.</w:t>
      </w:r>
    </w:p>
    <w:p w14:paraId="50A0A863" w14:textId="77777777" w:rsidR="00C701BE" w:rsidRPr="00B33274" w:rsidRDefault="00000000" w:rsidP="00DA3257">
      <w:pPr>
        <w:pStyle w:val="Nadpis1"/>
        <w:spacing w:before="0" w:line="240" w:lineRule="auto"/>
        <w:jc w:val="both"/>
      </w:pPr>
      <w:bookmarkStart w:id="169" w:name="_Toc243068430"/>
      <w:bookmarkStart w:id="170" w:name="_Toc243068718"/>
      <w:bookmarkStart w:id="171" w:name="_Toc243068787"/>
      <w:bookmarkStart w:id="172" w:name="_Toc243071054"/>
      <w:r w:rsidRPr="00B33274">
        <w:t>21 Automatizované měření a digitální dokumentace</w:t>
      </w:r>
      <w:bookmarkEnd w:id="169"/>
      <w:bookmarkEnd w:id="170"/>
      <w:bookmarkEnd w:id="171"/>
      <w:bookmarkEnd w:id="172"/>
    </w:p>
    <w:p w14:paraId="3E68CC2F" w14:textId="77777777" w:rsidR="00C701BE" w:rsidRPr="00B33274" w:rsidRDefault="00000000" w:rsidP="00DA3257">
      <w:pPr>
        <w:pStyle w:val="Nadpis2"/>
        <w:spacing w:before="0" w:line="240" w:lineRule="auto"/>
        <w:jc w:val="both"/>
      </w:pPr>
      <w:bookmarkStart w:id="173" w:name="_Toc243068719"/>
      <w:r w:rsidRPr="00B33274">
        <w:t>21.1 Ověřuje se celý datový řetězec</w:t>
      </w:r>
      <w:bookmarkEnd w:id="173"/>
    </w:p>
    <w:p w14:paraId="556E0855" w14:textId="77777777" w:rsidR="00C701BE" w:rsidRPr="00B33274" w:rsidRDefault="00000000" w:rsidP="00DA3257">
      <w:pPr>
        <w:spacing w:line="240" w:lineRule="auto"/>
        <w:jc w:val="both"/>
      </w:pPr>
      <w:r w:rsidRPr="00B33274">
        <w:t>Automatizované měření zahrnuje snímač, převodník, přenos, časování, ukládání, výpočty a zobrazení. Každá část může změnit výsledek. Správně kalibrovaný snímač nepomůže, jestliže program použije nesprávnou jednotku nebo po aktualizaci změní měřítko. Při zavádění proto prověřte řetězec od známého vstupu až po konečný protokol.</w:t>
      </w:r>
    </w:p>
    <w:p w14:paraId="794275E0" w14:textId="77777777" w:rsidR="00C701BE" w:rsidRPr="00B33274" w:rsidRDefault="00000000" w:rsidP="00DA3257">
      <w:pPr>
        <w:spacing w:line="240" w:lineRule="auto"/>
        <w:jc w:val="both"/>
      </w:pPr>
      <w:r w:rsidRPr="00B33274">
        <w:t>Zvláštní pozornost patří převodům analogového signálu. U proudového výstupu musí být správně přiřazen dolní i horní konec rozsahu a způsob hlášení poruchy. Záměna rozsahu nebo přepočtu může vytvářet plynulou a na pohled věrohodnou řadu chybných hodnot. Do dokumentace patří nastavení, verze a důkaz funkčního ověření.</w:t>
      </w:r>
    </w:p>
    <w:p w14:paraId="05B0F9C8" w14:textId="77777777" w:rsidR="00C701BE" w:rsidRPr="00B33274" w:rsidRDefault="00000000" w:rsidP="00DA3257">
      <w:pPr>
        <w:pStyle w:val="Nadpis2"/>
        <w:spacing w:before="0" w:line="240" w:lineRule="auto"/>
        <w:jc w:val="both"/>
      </w:pPr>
      <w:bookmarkStart w:id="174" w:name="_Toc243068720"/>
      <w:r w:rsidRPr="00B33274">
        <w:t>21.2 Vzorkování a čas</w:t>
      </w:r>
      <w:bookmarkEnd w:id="174"/>
    </w:p>
    <w:p w14:paraId="716B143E" w14:textId="77777777" w:rsidR="00C701BE" w:rsidRPr="00B33274" w:rsidRDefault="00000000" w:rsidP="00DA3257">
      <w:pPr>
        <w:spacing w:line="240" w:lineRule="auto"/>
        <w:jc w:val="both"/>
      </w:pPr>
      <w:r w:rsidRPr="00B33274">
        <w:t>Četnost záznamu volte podle děje. Pomalý trend hladiny a krátký tlakový ráz vyžadují odlišné snímání. Průměr za minutu může být vhodný pro bilanci, ale může skrýt krátké maximum důležité pro bezpečnost. Při rychlých dějích je nutné řešit také odezvu snímače, filtry a přenosovou kapacitu, nikoli jen číslo nastavené v programu.</w:t>
      </w:r>
    </w:p>
    <w:p w14:paraId="33F47D45" w14:textId="77777777" w:rsidR="00C701BE" w:rsidRPr="00B33274" w:rsidRDefault="00000000" w:rsidP="00DA3257">
      <w:pPr>
        <w:spacing w:line="240" w:lineRule="auto"/>
        <w:jc w:val="both"/>
      </w:pPr>
      <w:r w:rsidRPr="00B33274">
        <w:t>Časové značky musí mít známý význam. Rozlišujte okamžik měření, přijetí a uložení. Při spojování řad z více zařízení ověřte synchronizaci hodin, časové pásmo a změny letního času. Zdánlivé zpoždění mezi tlakem a průtokem může být důsledkem časování, nikoli fyzikální vlastností systému.</w:t>
      </w:r>
    </w:p>
    <w:p w14:paraId="45768586" w14:textId="77777777" w:rsidR="00C701BE" w:rsidRPr="00B33274" w:rsidRDefault="00000000" w:rsidP="00DA3257">
      <w:pPr>
        <w:pStyle w:val="Nadpis2"/>
        <w:spacing w:before="0" w:line="240" w:lineRule="auto"/>
        <w:jc w:val="both"/>
      </w:pPr>
      <w:bookmarkStart w:id="175" w:name="_Toc243068721"/>
      <w:r w:rsidRPr="00B33274">
        <w:lastRenderedPageBreak/>
        <w:t>21.3 Surová data a opravy</w:t>
      </w:r>
      <w:bookmarkEnd w:id="175"/>
    </w:p>
    <w:p w14:paraId="6EED4E21" w14:textId="77777777" w:rsidR="00C701BE" w:rsidRPr="00B33274" w:rsidRDefault="00000000" w:rsidP="00DA3257">
      <w:pPr>
        <w:spacing w:line="240" w:lineRule="auto"/>
        <w:jc w:val="both"/>
      </w:pPr>
      <w:r w:rsidRPr="00B33274">
        <w:t>Uchovávejte původní záznam v podobě, která umožní pozdější kontrolu. Odvozené a očištěné řady vytvářejte odděleně se zaznamenanými pravidly. Chybějící hodnota není nula. Náhrada interpolací nebo odhadem musí být rozpoznatelná a nesmí se bez vysvětlení použít jako skutečné měření při hodnocení maxima nebo mezního stavu.</w:t>
      </w:r>
    </w:p>
    <w:p w14:paraId="20DB29C6" w14:textId="77777777" w:rsidR="00C701BE" w:rsidRPr="00B33274" w:rsidRDefault="00000000" w:rsidP="00DA3257">
      <w:pPr>
        <w:spacing w:line="240" w:lineRule="auto"/>
        <w:jc w:val="both"/>
      </w:pPr>
      <w:r w:rsidRPr="00B33274">
        <w:t>Při vyloučení odlehlé hodnoty zaznamenejte důvod. Krátký extrém může být poruchou přenosu, ale také skutečnou událostí. Rozhodnutí vyžaduje souvislost s dalšími údaji, stavem přístroje a průběhem procesu. Automatický filtr má být ověřen na známých případech včetně takových, které musí zachovat.</w:t>
      </w:r>
    </w:p>
    <w:p w14:paraId="12DE460F" w14:textId="77777777" w:rsidR="00C701BE" w:rsidRPr="00B33274" w:rsidRDefault="00000000" w:rsidP="00DA3257">
      <w:pPr>
        <w:pStyle w:val="Nadpis2"/>
        <w:spacing w:before="0" w:line="240" w:lineRule="auto"/>
        <w:jc w:val="both"/>
      </w:pPr>
      <w:bookmarkStart w:id="176" w:name="_Toc243068722"/>
      <w:r w:rsidRPr="00B33274">
        <w:t>21.4 Tabulkové výpočty a software</w:t>
      </w:r>
      <w:bookmarkEnd w:id="176"/>
    </w:p>
    <w:p w14:paraId="7432589B" w14:textId="77777777" w:rsidR="00C701BE" w:rsidRPr="00B33274" w:rsidRDefault="00000000" w:rsidP="00DA3257">
      <w:pPr>
        <w:spacing w:line="240" w:lineRule="auto"/>
        <w:jc w:val="both"/>
      </w:pPr>
      <w:r w:rsidRPr="00B33274">
        <w:t>Běžná tabulka může obsahovat nesprávný vzorec, posunutý odkaz nebo skrytou konstantu. Před používáním ověřte výpočty nezávislým příkladem, zkontrolujte jednotky a vyzkoušejte mezní i chybný vstup. Uzamčení buněk může omezit nechtěnou změnu, ale samo nedokládá správnost výpočtu. Schválenou verzi označte a změny evidujte.</w:t>
      </w:r>
    </w:p>
    <w:p w14:paraId="4A7E2420" w14:textId="77777777" w:rsidR="00C701BE" w:rsidRPr="00B33274" w:rsidRDefault="00000000" w:rsidP="00DA3257">
      <w:pPr>
        <w:spacing w:line="240" w:lineRule="auto"/>
        <w:jc w:val="both"/>
      </w:pPr>
      <w:r w:rsidRPr="00B33274">
        <w:t>Při aktualizaci programu stanovte rozsah opětovné kontroly podle dopadu. Nový vzhled obrazovky může být bez významu pro výsledek, změna algoritmu nebo nastavení zaokrouhlení nikoli. Dodavatelský příslib kompatibility je užitečný vstup, ale uživatel potřebuje ověřit vlastní rozhodující funkce v používané konfiguraci.</w:t>
      </w:r>
    </w:p>
    <w:p w14:paraId="643CB62A" w14:textId="77777777" w:rsidR="00C701BE" w:rsidRPr="00B33274" w:rsidRDefault="00000000" w:rsidP="00DA3257">
      <w:pPr>
        <w:pStyle w:val="Nadpis2"/>
        <w:spacing w:before="0" w:line="240" w:lineRule="auto"/>
        <w:jc w:val="both"/>
      </w:pPr>
      <w:bookmarkStart w:id="177" w:name="_Toc243068723"/>
      <w:r w:rsidRPr="00B33274">
        <w:t>21.5 Dostupnost a dlouhodobá čitelnost</w:t>
      </w:r>
      <w:bookmarkEnd w:id="177"/>
    </w:p>
    <w:p w14:paraId="08256199" w14:textId="77777777" w:rsidR="00C701BE" w:rsidRPr="00B33274" w:rsidRDefault="00000000" w:rsidP="00DA3257">
      <w:pPr>
        <w:spacing w:line="240" w:lineRule="auto"/>
        <w:jc w:val="both"/>
      </w:pPr>
      <w:r w:rsidRPr="00B33274">
        <w:t>Zálohování prověřte obnovou, nikoli jen kontrolou, že vznikl soubor. Určete přístupová práva, uchování verzí a postup při výpadku. Pro dlouhodobou čitelnost ukládejte vedle původního formátu také vhodný otevřený export s popisem sloupců a jednotek. Samotný soubor hodnot bez znalosti konfigurace může být za několik let prakticky nepoužitelný.</w:t>
      </w:r>
    </w:p>
    <w:p w14:paraId="1D1DD31F" w14:textId="77777777" w:rsidR="00C701BE" w:rsidRPr="00B33274" w:rsidRDefault="00000000" w:rsidP="00DA3257">
      <w:pPr>
        <w:pStyle w:val="Nadpis1"/>
        <w:spacing w:before="0" w:line="240" w:lineRule="auto"/>
        <w:jc w:val="both"/>
      </w:pPr>
      <w:bookmarkStart w:id="178" w:name="_Toc243068431"/>
      <w:bookmarkStart w:id="179" w:name="_Toc243068724"/>
      <w:bookmarkStart w:id="180" w:name="_Toc243068788"/>
      <w:bookmarkStart w:id="181" w:name="_Toc243071055"/>
      <w:r w:rsidRPr="00B33274">
        <w:t>22 Zkoušky spolehlivosti a životnosti</w:t>
      </w:r>
      <w:bookmarkEnd w:id="178"/>
      <w:bookmarkEnd w:id="179"/>
      <w:bookmarkEnd w:id="180"/>
      <w:bookmarkEnd w:id="181"/>
    </w:p>
    <w:p w14:paraId="1C390A01" w14:textId="77777777" w:rsidR="00C701BE" w:rsidRPr="00B33274" w:rsidRDefault="00000000" w:rsidP="00DA3257">
      <w:pPr>
        <w:pStyle w:val="Nadpis2"/>
        <w:spacing w:before="0" w:line="240" w:lineRule="auto"/>
        <w:jc w:val="both"/>
      </w:pPr>
      <w:bookmarkStart w:id="182" w:name="_Toc243068725"/>
      <w:r w:rsidRPr="00B33274">
        <w:t>22.1 Porucha musí mít definici</w:t>
      </w:r>
      <w:bookmarkEnd w:id="182"/>
    </w:p>
    <w:p w14:paraId="5341959D" w14:textId="77777777" w:rsidR="00C701BE" w:rsidRPr="00B33274" w:rsidRDefault="00000000" w:rsidP="00DA3257">
      <w:pPr>
        <w:spacing w:line="240" w:lineRule="auto"/>
        <w:jc w:val="both"/>
      </w:pPr>
      <w:r w:rsidRPr="00B33274">
        <w:t>Spolehlivost vyjadřuje schopnost plnit požadovanou funkci za určených podmínek po stanovenou dobu. Před zkouškou určete, co představuje poruchu. Může jít o úplnou ztrátu funkce, překročení úniku, pokles výkonu nebo jinou mez. Bez stejné definice nelze porovnávat výsledky různých dodavatelů ani správně vyhodnotit čas do poruchy.</w:t>
      </w:r>
    </w:p>
    <w:p w14:paraId="16158C4B" w14:textId="77777777" w:rsidR="00C701BE" w:rsidRPr="00B33274" w:rsidRDefault="00000000" w:rsidP="00DA3257">
      <w:pPr>
        <w:spacing w:line="240" w:lineRule="auto"/>
        <w:jc w:val="both"/>
      </w:pPr>
      <w:r w:rsidRPr="00B33274">
        <w:t>Součástí zadání musí být provozní profil: zatížení, cykly, přestávky, prostředí a údržba. Deset tisíc otevření armatury při nízkém zatížení nemusí být srovnatelné s menším počtem při nepříznivých tlakových a teplotních podmínkách. Zkouška má odpovídat předpokládanému mechanismu poruchy, ne pouze snadno dosažitelnému počtu hodin.</w:t>
      </w:r>
    </w:p>
    <w:p w14:paraId="53B3CE12" w14:textId="77777777" w:rsidR="00C701BE" w:rsidRPr="00B33274" w:rsidRDefault="00000000" w:rsidP="00DA3257">
      <w:pPr>
        <w:pStyle w:val="Nadpis2"/>
        <w:spacing w:before="0" w:line="240" w:lineRule="auto"/>
        <w:jc w:val="both"/>
      </w:pPr>
      <w:bookmarkStart w:id="183" w:name="_Toc243068726"/>
      <w:r w:rsidRPr="00B33274">
        <w:t>22.2 Různé cíle zkoušení</w:t>
      </w:r>
      <w:bookmarkEnd w:id="183"/>
    </w:p>
    <w:p w14:paraId="33F5648D" w14:textId="77777777" w:rsidR="00C701BE" w:rsidRPr="00B33274" w:rsidRDefault="00000000" w:rsidP="00DA3257">
      <w:pPr>
        <w:spacing w:line="240" w:lineRule="auto"/>
        <w:jc w:val="both"/>
      </w:pPr>
      <w:r w:rsidRPr="00B33274">
        <w:t>Vývojová zkouška hledá slabá místa a může záměrně pokračovat do poruchy. Kvalifikační zkouška ověřuje předem určené podmínky. Provozní sledování shromažďuje zkušenosti ze skutečného použití. Záměna cílů vede k chybným závěrům: odhalení slabiny při vývoji může být úspěchem, zatímco při přejímací zkoušce může znamenat nesplnění požadavku.</w:t>
      </w:r>
    </w:p>
    <w:p w14:paraId="681F5128" w14:textId="77777777" w:rsidR="00C701BE" w:rsidRPr="00B33274" w:rsidRDefault="00000000" w:rsidP="00DA3257">
      <w:pPr>
        <w:spacing w:line="240" w:lineRule="auto"/>
        <w:jc w:val="both"/>
      </w:pPr>
      <w:r w:rsidRPr="00B33274">
        <w:t>Zkouška životnosti musí mít pravidla přerušení a prohlídek. Prohlídka sama může změnit stav předmětu, například opětovným dotažením nebo vyčištěním. Zaznamenejte každý zásah a určete, zda je součástí předepsané údržby. Jinak lze nechtěně vykazovat životnost zařízení, které bylo během zkoušky opakovaně obnovováno.</w:t>
      </w:r>
    </w:p>
    <w:p w14:paraId="147966DE" w14:textId="77777777" w:rsidR="00C701BE" w:rsidRPr="00B33274" w:rsidRDefault="00000000" w:rsidP="00DA3257">
      <w:pPr>
        <w:pStyle w:val="Nadpis2"/>
        <w:spacing w:before="0" w:line="240" w:lineRule="auto"/>
        <w:jc w:val="both"/>
      </w:pPr>
      <w:bookmarkStart w:id="184" w:name="_Toc243068727"/>
      <w:r w:rsidRPr="00B33274">
        <w:t>22.3 Zrychlené zkoušky</w:t>
      </w:r>
      <w:bookmarkEnd w:id="184"/>
    </w:p>
    <w:p w14:paraId="106C0561" w14:textId="77777777" w:rsidR="00C701BE" w:rsidRPr="00B33274" w:rsidRDefault="00000000" w:rsidP="00DA3257">
      <w:pPr>
        <w:spacing w:line="240" w:lineRule="auto"/>
        <w:jc w:val="both"/>
      </w:pPr>
      <w:r w:rsidRPr="00B33274">
        <w:t>Vyšší teplota, větší zatížení nebo četnější cyklování mohou zkrátit dobu zkoušky, ale přepočet na běžný provoz vyžaduje odůvodněný model. Při příliš vysokém zatížení se může aktivovat jiný mechanismus poruchy, který se za běžných podmínek nevyskytuje. Samotný počet hodin v náročném prostředí není univerzální převod na roky služby. [19]</w:t>
      </w:r>
    </w:p>
    <w:p w14:paraId="1B170C98" w14:textId="77777777" w:rsidR="00C701BE" w:rsidRPr="00B33274" w:rsidRDefault="00000000" w:rsidP="00DA3257">
      <w:pPr>
        <w:spacing w:line="240" w:lineRule="auto"/>
        <w:jc w:val="both"/>
      </w:pPr>
      <w:r w:rsidRPr="00B33274">
        <w:t xml:space="preserve">Před extrapolací posuďte materiál a mechanismus stárnutí, ověřte výsledky při více úrovních zatížení a určete nejistotu odhadu. Zkouška může být užitečná i bez kvantitativního přepočtu: umožní porovnat </w:t>
      </w:r>
      <w:r w:rsidRPr="00B33274">
        <w:lastRenderedPageBreak/>
        <w:t>varianty za shodných podmínek. Tento omezený závěr však musí zůstat odlišen od tvrzení o skutečné provozní životnosti.</w:t>
      </w:r>
    </w:p>
    <w:p w14:paraId="5E4AD917" w14:textId="77777777" w:rsidR="00C701BE" w:rsidRPr="00B33274" w:rsidRDefault="00000000" w:rsidP="00DA3257">
      <w:pPr>
        <w:pStyle w:val="Nadpis2"/>
        <w:spacing w:before="0" w:line="240" w:lineRule="auto"/>
        <w:jc w:val="both"/>
      </w:pPr>
      <w:bookmarkStart w:id="185" w:name="_Toc243068728"/>
      <w:r w:rsidRPr="00B33274">
        <w:t>22.4 Neúplná pozorování</w:t>
      </w:r>
      <w:bookmarkEnd w:id="185"/>
    </w:p>
    <w:p w14:paraId="78773832" w14:textId="77777777" w:rsidR="00C701BE" w:rsidRPr="00B33274" w:rsidRDefault="00000000" w:rsidP="00DA3257">
      <w:pPr>
        <w:spacing w:line="240" w:lineRule="auto"/>
        <w:jc w:val="both"/>
      </w:pPr>
      <w:r w:rsidRPr="00B33274">
        <w:t xml:space="preserve">Pokud kus do konce zkoušky neselhal, neznamená to nekonečnou životnost. Víme pouze, že vydržel alespoň sledovanou dobu. Takové pozorování se při statistickém hodnocení označuje jako </w:t>
      </w:r>
      <w:proofErr w:type="spellStart"/>
      <w:r w:rsidRPr="00B33274">
        <w:t>cenzorované</w:t>
      </w:r>
      <w:proofErr w:type="spellEnd"/>
      <w:r w:rsidRPr="00B33274">
        <w:t>. Jeho vynechání nebo nahrazení dobou poruchy na konci zkoušky zkresluje výsledek.</w:t>
      </w:r>
    </w:p>
    <w:p w14:paraId="10B3C523" w14:textId="77777777" w:rsidR="00C701BE" w:rsidRPr="00B33274" w:rsidRDefault="00000000" w:rsidP="00DA3257">
      <w:pPr>
        <w:spacing w:line="240" w:lineRule="auto"/>
        <w:jc w:val="both"/>
      </w:pPr>
      <w:r w:rsidRPr="00B33274">
        <w:t>Stejně důležité je rozlišit, proč byl kus vyřazen. Ukončení z důvodu plánovaného konce sledování má jiný význam než poškození při manipulaci nebo vyřazení pro varovné příznaky. Zpráva musí uvést počty kusů, skutečné doby, poruchy i důvody ukončení. Malý počet poruch vede k široké nejistotě odhadů.</w:t>
      </w:r>
    </w:p>
    <w:p w14:paraId="5B9E83A4" w14:textId="77777777" w:rsidR="00C701BE" w:rsidRPr="00B33274" w:rsidRDefault="00000000" w:rsidP="00DA3257">
      <w:pPr>
        <w:pStyle w:val="Nadpis2"/>
        <w:spacing w:before="0" w:line="240" w:lineRule="auto"/>
        <w:jc w:val="both"/>
      </w:pPr>
      <w:bookmarkStart w:id="186" w:name="_Toc243068729"/>
      <w:r w:rsidRPr="00B33274">
        <w:t>22.5 Přenos do údržby</w:t>
      </w:r>
      <w:bookmarkEnd w:id="186"/>
    </w:p>
    <w:p w14:paraId="6B2CFFB2" w14:textId="77777777" w:rsidR="00C701BE" w:rsidRPr="00B33274" w:rsidRDefault="00000000" w:rsidP="00DA3257">
      <w:pPr>
        <w:spacing w:line="240" w:lineRule="auto"/>
        <w:jc w:val="both"/>
      </w:pPr>
      <w:r w:rsidRPr="00B33274">
        <w:t>Zkoušky a provozní data využijte k určení kontrolovaných znaků a k plánování údržby. Není vždy účelné čekat na úplnou poruchu; změna vibrací, proudu, těsnosti nebo teploty může poskytovat varování. Mez pro zásah však musí souviset se skutečným stavem zařízení. Jediná obecná hranice pro všechny stroje bez ohledu na konstrukci může být zavádějící.</w:t>
      </w:r>
    </w:p>
    <w:p w14:paraId="385A36B1" w14:textId="77777777" w:rsidR="00C701BE" w:rsidRPr="00B33274" w:rsidRDefault="00000000" w:rsidP="00DA3257">
      <w:pPr>
        <w:pStyle w:val="Nadpis1"/>
        <w:spacing w:before="0" w:line="240" w:lineRule="auto"/>
        <w:jc w:val="both"/>
      </w:pPr>
      <w:bookmarkStart w:id="187" w:name="_Toc243068432"/>
      <w:bookmarkStart w:id="188" w:name="_Toc243068730"/>
      <w:bookmarkStart w:id="189" w:name="_Toc243068789"/>
      <w:bookmarkStart w:id="190" w:name="_Toc243071056"/>
      <w:r w:rsidRPr="00B33274">
        <w:t>23 Provozní diagnostika a řízení změn</w:t>
      </w:r>
      <w:bookmarkEnd w:id="187"/>
      <w:bookmarkEnd w:id="188"/>
      <w:bookmarkEnd w:id="189"/>
      <w:bookmarkEnd w:id="190"/>
    </w:p>
    <w:p w14:paraId="77F0F4D8" w14:textId="77777777" w:rsidR="00C701BE" w:rsidRPr="00B33274" w:rsidRDefault="00000000" w:rsidP="00DA3257">
      <w:pPr>
        <w:pStyle w:val="Nadpis2"/>
        <w:spacing w:before="0" w:line="240" w:lineRule="auto"/>
        <w:jc w:val="both"/>
      </w:pPr>
      <w:bookmarkStart w:id="191" w:name="_Toc243068731"/>
      <w:r w:rsidRPr="00B33274">
        <w:t>23.1 Referenční stav při uvedení do provozu</w:t>
      </w:r>
      <w:bookmarkEnd w:id="191"/>
    </w:p>
    <w:p w14:paraId="71EE0CC9" w14:textId="77777777" w:rsidR="00C701BE" w:rsidRPr="00B33274" w:rsidRDefault="00000000" w:rsidP="00DA3257">
      <w:pPr>
        <w:spacing w:line="240" w:lineRule="auto"/>
        <w:jc w:val="both"/>
      </w:pPr>
      <w:r w:rsidRPr="00B33274">
        <w:t>Po dokončení montáže zaznamenejte stav, k němuž se budou vztahovat další kontroly. Patří sem nastavení, provozní body, použité snímače, podmínky a naměřené hodnoty. Základní záznam umožní později odlišit dlouhodobé zhoršení od změny zatížení. Bez něj lze těžko rozhodnout, zda vyšší příkon znamená závadu, nebo pouze jiný pracovní režim.</w:t>
      </w:r>
    </w:p>
    <w:p w14:paraId="546D60D9" w14:textId="77777777" w:rsidR="00C701BE" w:rsidRPr="00B33274" w:rsidRDefault="00000000" w:rsidP="00DA3257">
      <w:pPr>
        <w:spacing w:line="240" w:lineRule="auto"/>
        <w:jc w:val="both"/>
      </w:pPr>
      <w:r w:rsidRPr="00B33274">
        <w:t>Referenční stav nesmí být pouhým soupisem čísel. Uveďte konfiguraci, médium, teplotu, nastavení armatur a další rozhodné podmínky. Při měření vibrací určete místo, směr a způsob připojení snímače. Při změně měřicího místa může dojít k rozdílu, který nesouvisí se změnou stroje.</w:t>
      </w:r>
    </w:p>
    <w:p w14:paraId="032938FB" w14:textId="77777777" w:rsidR="00C701BE" w:rsidRPr="00B33274" w:rsidRDefault="00000000" w:rsidP="00DA3257">
      <w:pPr>
        <w:pStyle w:val="Nadpis2"/>
        <w:spacing w:before="0" w:line="240" w:lineRule="auto"/>
        <w:jc w:val="both"/>
      </w:pPr>
      <w:bookmarkStart w:id="192" w:name="_Toc243068732"/>
      <w:r w:rsidRPr="00B33274">
        <w:t>23.2 Trend a jednorázový výsledek</w:t>
      </w:r>
      <w:bookmarkEnd w:id="192"/>
    </w:p>
    <w:p w14:paraId="5F7BA7FC" w14:textId="77777777" w:rsidR="00C701BE" w:rsidRPr="00B33274" w:rsidRDefault="00000000" w:rsidP="00DA3257">
      <w:pPr>
        <w:spacing w:line="240" w:lineRule="auto"/>
        <w:jc w:val="both"/>
      </w:pPr>
      <w:r w:rsidRPr="00B33274">
        <w:t>Provozní diagnostika je často účinnější při sledování vývoje než při jediném měření. Postupné zhoršování může umožnit plánovaný zásah. Každý trend však posuzujte vůči změnám provozu a měření. Příznivý průměr nesmí zakrýt opakovaná krátká překročení, jestliže jsou pro funkci nebo bezpečnost rozhodná maxima.</w:t>
      </w:r>
    </w:p>
    <w:p w14:paraId="25E84E3C" w14:textId="77777777" w:rsidR="00C701BE" w:rsidRPr="00B33274" w:rsidRDefault="00000000" w:rsidP="00DA3257">
      <w:pPr>
        <w:spacing w:line="240" w:lineRule="auto"/>
        <w:jc w:val="both"/>
      </w:pPr>
      <w:r w:rsidRPr="00B33274">
        <w:t>Při neobvyklém stavu prověřte věrohodnost signálu, ale nezaměňujte toto prověření za automatické popření závady. Porovnejte související veličiny a případně použijte nezávislou metodu. Důležité je mít stanovené, kdy lze v měření pokračovat, kdy se zvyšuje dohled a kdy se zařízení odstaví. Konkrétní hranice vycházejí z dokumentace a posouzení daného zařízení.</w:t>
      </w:r>
    </w:p>
    <w:p w14:paraId="5C0E1C8D" w14:textId="77777777" w:rsidR="00C701BE" w:rsidRPr="00B33274" w:rsidRDefault="00000000" w:rsidP="00DA3257">
      <w:pPr>
        <w:pStyle w:val="Nadpis2"/>
        <w:spacing w:before="0" w:line="240" w:lineRule="auto"/>
        <w:jc w:val="both"/>
      </w:pPr>
      <w:bookmarkStart w:id="193" w:name="_Toc243068733"/>
      <w:r w:rsidRPr="00B33274">
        <w:t>23.3 Výměna součásti</w:t>
      </w:r>
      <w:bookmarkEnd w:id="193"/>
    </w:p>
    <w:p w14:paraId="246A3560" w14:textId="77777777" w:rsidR="00C701BE" w:rsidRPr="00B33274" w:rsidRDefault="00000000" w:rsidP="00DA3257">
      <w:pPr>
        <w:spacing w:line="240" w:lineRule="auto"/>
        <w:jc w:val="both"/>
      </w:pPr>
      <w:r w:rsidRPr="00B33274">
        <w:t>Před použitím náhradního dílu posuďte funkční a materiálovou rovnocennost. Stejný rozměr nemusí znamenat stejné vlastnosti. U těsnění rozhoduje médium a teplota, u snímače rozsah, výstup, odezva i prostředí, u spojovacího materiálu rovněž pevnostní a povrchové provedení. Náhradu evidujte s identifikací a schválením.</w:t>
      </w:r>
    </w:p>
    <w:p w14:paraId="198E69C9" w14:textId="77777777" w:rsidR="00C701BE" w:rsidRPr="00B33274" w:rsidRDefault="00000000" w:rsidP="00DA3257">
      <w:pPr>
        <w:spacing w:line="240" w:lineRule="auto"/>
        <w:jc w:val="both"/>
      </w:pPr>
      <w:r w:rsidRPr="00B33274">
        <w:t>Po zásahu určete potřebné ověření. Výměna čidla může vyžadovat kontrolu měřicího řetězce a nastavení alarmů. Výměna mechanické části může vyžadovat ustavení, funkční zkoušku nebo kontrolu těsnosti. Závěrečná prohlídka vzhledu neprokazuje, že byly obnoveny všechny funkce původní sestavy.</w:t>
      </w:r>
    </w:p>
    <w:p w14:paraId="077D098F" w14:textId="77777777" w:rsidR="00C701BE" w:rsidRPr="00B33274" w:rsidRDefault="00000000" w:rsidP="00DA3257">
      <w:pPr>
        <w:pStyle w:val="Nadpis2"/>
        <w:spacing w:before="0" w:line="240" w:lineRule="auto"/>
        <w:jc w:val="both"/>
      </w:pPr>
      <w:bookmarkStart w:id="194" w:name="_Toc243068734"/>
      <w:r w:rsidRPr="00B33274">
        <w:t>23.4 Změna konstrukce a účelu</w:t>
      </w:r>
      <w:bookmarkEnd w:id="194"/>
    </w:p>
    <w:p w14:paraId="62E455A4" w14:textId="77777777" w:rsidR="00C701BE" w:rsidRPr="00B33274" w:rsidRDefault="00000000" w:rsidP="00DA3257">
      <w:pPr>
        <w:spacing w:line="240" w:lineRule="auto"/>
        <w:jc w:val="both"/>
      </w:pPr>
      <w:r w:rsidRPr="00B33274">
        <w:t>Změnu je třeba hodnotit vůči původnímu návrhu, rizikům a důkazům. Zvýšení výkonu, změna média nebo provozní teploty může přesáhnout původně ověřené podmínky. Nestačí, že zařízení nového režimu krátkodobě dosáhne. Posuďte dlouhodobé namáhání, ochranné funkce, kompatibilitu a právní důsledky podle příslušného režimu.</w:t>
      </w:r>
    </w:p>
    <w:p w14:paraId="6CB6523C" w14:textId="77777777" w:rsidR="00C701BE" w:rsidRPr="00B33274" w:rsidRDefault="00000000" w:rsidP="00DA3257">
      <w:pPr>
        <w:spacing w:line="240" w:lineRule="auto"/>
        <w:jc w:val="both"/>
      </w:pPr>
      <w:r w:rsidRPr="00B33274">
        <w:t xml:space="preserve">Dokumentace změny má popsat výchozí stav, návrh, důvod, posouzení dopadů, schválení a výsledné ověření. Následně se upraví výkresy, seznam dílů, návody, kontrolní plán a evidence měřidel tam, kde jsou </w:t>
      </w:r>
      <w:r w:rsidRPr="00B33274">
        <w:lastRenderedPageBreak/>
        <w:t>dotčeny. Provoz nesmí dlouhodobě záviset na znalosti jednotlivce, že „ve skutečnosti je zařízení zapojeno jinak“.</w:t>
      </w:r>
    </w:p>
    <w:p w14:paraId="297DC9F3" w14:textId="77777777" w:rsidR="00C701BE" w:rsidRPr="00B33274" w:rsidRDefault="00000000" w:rsidP="00DA3257">
      <w:pPr>
        <w:pStyle w:val="Nadpis2"/>
        <w:spacing w:before="0" w:line="240" w:lineRule="auto"/>
        <w:jc w:val="both"/>
      </w:pPr>
      <w:bookmarkStart w:id="195" w:name="_Toc243068735"/>
      <w:r w:rsidRPr="00B33274">
        <w:t>23.5 Uzavření zásahu</w:t>
      </w:r>
      <w:bookmarkEnd w:id="195"/>
    </w:p>
    <w:p w14:paraId="59B93662" w14:textId="77777777" w:rsidR="00C701BE" w:rsidRPr="00B33274" w:rsidRDefault="00000000" w:rsidP="00DA3257">
      <w:pPr>
        <w:spacing w:line="240" w:lineRule="auto"/>
        <w:jc w:val="both"/>
      </w:pPr>
      <w:r w:rsidRPr="00B33274">
        <w:t>Zařízení uvolněte až po doložení předepsaných kontrol a předání informací obsluze. Záznam má obsahovat skutečně provedené práce, použité díly, nastavení, výsledky a zbývající omezení. Pokud je povolen zkušební provoz s omezením, určete jeho podmínky, dobu, odpovědnost a způsob ukončení. Neurčitá poznámka „sledovat“ není dostatečným pracovním pokynem.</w:t>
      </w:r>
    </w:p>
    <w:p w14:paraId="316835E7" w14:textId="77777777" w:rsidR="00C701BE" w:rsidRPr="00B33274" w:rsidRDefault="00000000" w:rsidP="00DA3257">
      <w:pPr>
        <w:pStyle w:val="Nadpis1"/>
        <w:spacing w:before="0" w:line="240" w:lineRule="auto"/>
        <w:jc w:val="both"/>
      </w:pPr>
      <w:bookmarkStart w:id="196" w:name="_Toc243068433"/>
      <w:bookmarkStart w:id="197" w:name="_Toc243068736"/>
      <w:bookmarkStart w:id="198" w:name="_Toc243068790"/>
      <w:bookmarkStart w:id="199" w:name="_Toc243071057"/>
      <w:r w:rsidRPr="00B33274">
        <w:t>24 Ekonomika kontroly a výběr dodavatelů</w:t>
      </w:r>
      <w:bookmarkEnd w:id="196"/>
      <w:bookmarkEnd w:id="197"/>
      <w:bookmarkEnd w:id="198"/>
      <w:bookmarkEnd w:id="199"/>
    </w:p>
    <w:p w14:paraId="05E8B2C4" w14:textId="77777777" w:rsidR="00C701BE" w:rsidRPr="00B33274" w:rsidRDefault="00000000" w:rsidP="00DA3257">
      <w:pPr>
        <w:pStyle w:val="Nadpis2"/>
        <w:spacing w:before="0" w:line="240" w:lineRule="auto"/>
        <w:jc w:val="both"/>
      </w:pPr>
      <w:bookmarkStart w:id="200" w:name="_Toc243068737"/>
      <w:r w:rsidRPr="00B33274">
        <w:t>24.1 Náklady nevznikají jen ve zkušebně</w:t>
      </w:r>
      <w:bookmarkEnd w:id="200"/>
    </w:p>
    <w:p w14:paraId="4B1EC67E" w14:textId="77777777" w:rsidR="00C701BE" w:rsidRPr="00B33274" w:rsidRDefault="00000000" w:rsidP="00DA3257">
      <w:pPr>
        <w:spacing w:line="240" w:lineRule="auto"/>
        <w:jc w:val="both"/>
      </w:pPr>
      <w:r w:rsidRPr="00B33274">
        <w:t>Celkové náklady zahrnují přípravu, odběr, dopravu, zkoušku, čekání na výsledek, případné zničení kusů i následná opatření. Levnější jednotlivá zkouška může být nevýhodná, pokud nedá použitelný závěr nebo vyžaduje další ověření. Nabídky proto porovnávejte podle shodného účelu a výstupu.</w:t>
      </w:r>
    </w:p>
    <w:p w14:paraId="76B1BFF0" w14:textId="77777777" w:rsidR="00C701BE" w:rsidRPr="00B33274" w:rsidRDefault="00000000" w:rsidP="00DA3257">
      <w:pPr>
        <w:spacing w:line="240" w:lineRule="auto"/>
        <w:jc w:val="both"/>
      </w:pPr>
      <w:r w:rsidRPr="00B33274">
        <w:t>Na druhé straně není hospodárné vyžadovat rozsáhlý soubor zkoušek pouze proto, že je laboratoř nabízí. Nejprve určete, jakou nejistotu rozhodnutí má každý úkon snížit. Zkouška bez vazby na požadavek nebo riziko může vytvářet náklady, aniž by zlepšila návrh, přejímku nebo bezpečnost.</w:t>
      </w:r>
    </w:p>
    <w:p w14:paraId="1C1D572C" w14:textId="77777777" w:rsidR="00C701BE" w:rsidRPr="00B33274" w:rsidRDefault="00000000" w:rsidP="00DA3257">
      <w:pPr>
        <w:pStyle w:val="Nadpis2"/>
        <w:spacing w:before="0" w:line="240" w:lineRule="auto"/>
        <w:jc w:val="both"/>
      </w:pPr>
      <w:bookmarkStart w:id="201" w:name="_Toc243068738"/>
      <w:r w:rsidRPr="00B33274">
        <w:t>24.2 Rozlišení preventivních a následných nákladů</w:t>
      </w:r>
      <w:bookmarkEnd w:id="201"/>
    </w:p>
    <w:p w14:paraId="2CA5E590" w14:textId="77777777" w:rsidR="00C701BE" w:rsidRPr="00B33274" w:rsidRDefault="00000000" w:rsidP="00DA3257">
      <w:pPr>
        <w:spacing w:line="240" w:lineRule="auto"/>
        <w:jc w:val="both"/>
      </w:pPr>
      <w:r w:rsidRPr="00B33274">
        <w:t>Prevence zahrnuje správné zadání, kvalifikaci procesu, školení a řízení změn. Náklady hodnocení tvoří kontroly a zkoušky. Náklady neshody zahrnují opravy, třídění, zmetky, prostoje a reklamace. Sledování pouze ceny kontroly může motivovat k úsporám, které přesunou mnohem větší výdaje do pozdějšího provozu.</w:t>
      </w:r>
    </w:p>
    <w:p w14:paraId="73649017" w14:textId="77777777" w:rsidR="00C701BE" w:rsidRPr="00B33274" w:rsidRDefault="00000000" w:rsidP="00DA3257">
      <w:pPr>
        <w:spacing w:line="240" w:lineRule="auto"/>
        <w:jc w:val="both"/>
      </w:pPr>
      <w:r w:rsidRPr="00B33274">
        <w:t>Pro rozhodnutí porovnejte varianty při stejném objemu a období. Zohledněte nejen očekávanou cenu opravy, ale také dopad odstávky a dostupnost náhradního řešení. U bezpečnostních a právních požadavků nemůže ekonomická úvaha ospravedlnit jejich nesplnění. Může však pomoci vybrat mezi více vyhovujícími způsoby zajištění.</w:t>
      </w:r>
    </w:p>
    <w:p w14:paraId="73F8A6D5" w14:textId="77777777" w:rsidR="00C701BE" w:rsidRPr="00B33274" w:rsidRDefault="00000000" w:rsidP="00DA3257">
      <w:pPr>
        <w:pStyle w:val="Nadpis2"/>
        <w:spacing w:before="0" w:line="240" w:lineRule="auto"/>
        <w:jc w:val="both"/>
      </w:pPr>
      <w:bookmarkStart w:id="202" w:name="_Toc243068739"/>
      <w:r w:rsidRPr="00B33274">
        <w:t>24.3 Hodnocení dodavatele</w:t>
      </w:r>
      <w:bookmarkEnd w:id="202"/>
    </w:p>
    <w:p w14:paraId="2525298C" w14:textId="77777777" w:rsidR="00C701BE" w:rsidRPr="00B33274" w:rsidRDefault="00000000" w:rsidP="00DA3257">
      <w:pPr>
        <w:spacing w:line="240" w:lineRule="auto"/>
        <w:jc w:val="both"/>
      </w:pPr>
      <w:r w:rsidRPr="00B33274">
        <w:t>Dodavatele posuzujte podle významu jeho výrobku nebo služby. Sledujte stabilitu vlastností, schopnost dohledání šarží, zvládání změn, dodržení termínů a reakci na neshody. Certifikovaný systém managementu je jedním z údajů, nikoli úplným důkazem. Pro kritickou součást může být potřebné ověření konkrétní technologie nebo zkušební dodávka.</w:t>
      </w:r>
    </w:p>
    <w:p w14:paraId="1DB7B68E" w14:textId="77777777" w:rsidR="00C701BE" w:rsidRPr="00B33274" w:rsidRDefault="00000000" w:rsidP="00DA3257">
      <w:pPr>
        <w:spacing w:line="240" w:lineRule="auto"/>
        <w:jc w:val="both"/>
      </w:pPr>
      <w:r w:rsidRPr="00B33274">
        <w:t>Požadujte oznamování změn, které mohou ovlivnit vlastnosti. Jde například o materiál, výrobní místo, klíčový proces nebo subdodavatele. Rozsah této povinnosti má být jasný a přiměřený. Bez něj může odběratel opakovaně přebírat výrobek stejného označení, jehož podstatné vlastnosti se mezitím změnily.</w:t>
      </w:r>
    </w:p>
    <w:p w14:paraId="2BE31F22" w14:textId="77777777" w:rsidR="00C701BE" w:rsidRPr="00B33274" w:rsidRDefault="00000000" w:rsidP="00DA3257">
      <w:pPr>
        <w:pStyle w:val="Nadpis2"/>
        <w:spacing w:before="0" w:line="240" w:lineRule="auto"/>
        <w:jc w:val="both"/>
      </w:pPr>
      <w:bookmarkStart w:id="203" w:name="_Toc243068740"/>
      <w:r w:rsidRPr="00B33274">
        <w:t>24.4 Přínos přesnějšího měření</w:t>
      </w:r>
      <w:bookmarkEnd w:id="203"/>
    </w:p>
    <w:p w14:paraId="432E2202" w14:textId="77777777" w:rsidR="00C701BE" w:rsidRPr="00B33274" w:rsidRDefault="00000000" w:rsidP="00DA3257">
      <w:pPr>
        <w:spacing w:line="240" w:lineRule="auto"/>
        <w:jc w:val="both"/>
      </w:pPr>
      <w:r w:rsidRPr="00B33274">
        <w:t>Přesnější systém může snížit počet nejednoznačných výsledků a náklady na opakované kontroly. Neznamená to ale, že nejdražší přístroj je nejlepší volbou. Zvažte dosažitelnou nejistotu v reálném prostředí, čas měření, potřebu kvalifikace a náklady na údržbu. Laboratorní přístroj může v dílně vyžadovat podmínky, které nelze trvale zajistit.</w:t>
      </w:r>
    </w:p>
    <w:p w14:paraId="5BDB8B94" w14:textId="77777777" w:rsidR="00C701BE" w:rsidRPr="00B33274" w:rsidRDefault="00000000" w:rsidP="00DA3257">
      <w:pPr>
        <w:spacing w:line="240" w:lineRule="auto"/>
        <w:jc w:val="both"/>
      </w:pPr>
      <w:r w:rsidRPr="00B33274">
        <w:t>Výukový příklad: provoz řeší měsíčně třicet hraničních kusů, jejichž došetření stojí čas a blokuje expedici. Investice má smysl tehdy, pokud nový postup tyto případy skutečně rozliší a přínos přesáhne celkové náklady. Je třeba ověřit celý měřicí systém a počítat i s tím, že část hraničních stavů způsobuje nestabilní výroba, kterou samotné měření nezlepší.</w:t>
      </w:r>
    </w:p>
    <w:p w14:paraId="10869957" w14:textId="77777777" w:rsidR="00C701BE" w:rsidRPr="00B33274" w:rsidRDefault="00000000" w:rsidP="00DA3257">
      <w:pPr>
        <w:pStyle w:val="Nadpis2"/>
        <w:spacing w:before="0" w:line="240" w:lineRule="auto"/>
        <w:jc w:val="both"/>
      </w:pPr>
      <w:bookmarkStart w:id="204" w:name="_Toc243068741"/>
      <w:r w:rsidRPr="00B33274">
        <w:t>24.5 Ukazatele pro vedení</w:t>
      </w:r>
      <w:bookmarkEnd w:id="204"/>
    </w:p>
    <w:p w14:paraId="16B559A7" w14:textId="77777777" w:rsidR="00C701BE" w:rsidRPr="00B33274" w:rsidRDefault="00000000" w:rsidP="00DA3257">
      <w:pPr>
        <w:spacing w:line="240" w:lineRule="auto"/>
        <w:jc w:val="both"/>
      </w:pPr>
      <w:r w:rsidRPr="00B33274">
        <w:t>Sledujte podíl opakovaných zkoušek, dobu uzavření neshody, prostoje kvůli měřidlům, náklady na třídění a výskyt závad po předání. Ukazatele vždy vztahujte k objemu a náročnosti práce. Samotný počet nalezených vad nemusí vypovídat o zhoršení výroby; může odrážet citlivější kontrolu. Pro řízení je nutné rozumět příčině změny, nikoli jen požadovat příznivější číslo.</w:t>
      </w:r>
    </w:p>
    <w:p w14:paraId="463D143D" w14:textId="77777777" w:rsidR="00C701BE" w:rsidRPr="00B33274" w:rsidRDefault="00000000" w:rsidP="00DA3257">
      <w:pPr>
        <w:pStyle w:val="Nadpis1"/>
        <w:spacing w:before="0" w:line="240" w:lineRule="auto"/>
        <w:jc w:val="both"/>
      </w:pPr>
      <w:bookmarkStart w:id="205" w:name="_Toc243068434"/>
      <w:bookmarkStart w:id="206" w:name="_Toc243068742"/>
      <w:bookmarkStart w:id="207" w:name="_Toc243068791"/>
      <w:bookmarkStart w:id="208" w:name="_Toc243071058"/>
      <w:r w:rsidRPr="00B33274">
        <w:lastRenderedPageBreak/>
        <w:t>25 Rozšířené pracovní případy</w:t>
      </w:r>
      <w:bookmarkEnd w:id="205"/>
      <w:bookmarkEnd w:id="206"/>
      <w:bookmarkEnd w:id="207"/>
      <w:bookmarkEnd w:id="208"/>
    </w:p>
    <w:p w14:paraId="303E4752" w14:textId="77777777" w:rsidR="00C701BE" w:rsidRPr="00B33274" w:rsidRDefault="00000000" w:rsidP="00DA3257">
      <w:pPr>
        <w:pStyle w:val="Nadpis2"/>
        <w:spacing w:before="0" w:line="240" w:lineRule="auto"/>
        <w:jc w:val="both"/>
      </w:pPr>
      <w:bookmarkStart w:id="209" w:name="_Toc243068743"/>
      <w:r w:rsidRPr="00B33274">
        <w:t>25.1 Převzetí čerpacího soustrojí</w:t>
      </w:r>
      <w:bookmarkEnd w:id="209"/>
    </w:p>
    <w:p w14:paraId="6042E27D" w14:textId="77777777" w:rsidR="00C701BE" w:rsidRPr="00B33274" w:rsidRDefault="00000000" w:rsidP="00DA3257">
      <w:pPr>
        <w:spacing w:line="240" w:lineRule="auto"/>
        <w:jc w:val="both"/>
      </w:pPr>
      <w:r w:rsidRPr="00B33274">
        <w:t>Před zkouškou porovnejte nabídku, projekt a skutečné provedení. Zkontrolujte pracovní bod, napájení, regulaci, ochrany a podmínky měření. Stanovte, kde se měří průtok a tlak a jak se vypočítá hodnocená veličina. Rozdíl mezi charakteristikou samotného čerpadla a chováním celé instalace musí být ve zprávě zřejmý.</w:t>
      </w:r>
    </w:p>
    <w:p w14:paraId="00F7BD1D" w14:textId="77777777" w:rsidR="00C701BE" w:rsidRPr="00B33274" w:rsidRDefault="00000000" w:rsidP="00DA3257">
      <w:pPr>
        <w:spacing w:line="240" w:lineRule="auto"/>
        <w:jc w:val="both"/>
      </w:pPr>
      <w:r w:rsidRPr="00B33274">
        <w:t>Při měření zaznamenejte polohy armatur, úroveň hladin, teplotu, elektrické údaje a stabilitu režimu. Pokud nebyly dosaženy předepsané podmínky, výsledek neoznačujte bez výhrady za přejímací zkoušku podle původního zadání. Důvod odchylky a způsob dalšího rozhodnutí musí být schválen a doložen.</w:t>
      </w:r>
    </w:p>
    <w:p w14:paraId="3B1EC3FF" w14:textId="77777777" w:rsidR="00C701BE" w:rsidRPr="00B33274" w:rsidRDefault="00000000" w:rsidP="00DA3257">
      <w:pPr>
        <w:spacing w:line="240" w:lineRule="auto"/>
        <w:jc w:val="both"/>
      </w:pPr>
      <w:r w:rsidRPr="00B33274">
        <w:t>Nevyhovující průtok může být způsoben čerpadlem, odporem potrubí, přisáváním, chybným směrem otáčení nebo měřením. Než se rozhodne o reklamaci výrobku, prověřte celý systém. Kontrolní plán má umožnit odlišit tyto příčiny pomocí dostupných měření, nikoli pouhým odhadem podle zvuku zařízení.</w:t>
      </w:r>
    </w:p>
    <w:p w14:paraId="2651EBE6" w14:textId="77777777" w:rsidR="00C701BE" w:rsidRPr="00B33274" w:rsidRDefault="00000000" w:rsidP="00DA3257">
      <w:pPr>
        <w:pStyle w:val="Nadpis2"/>
        <w:spacing w:before="0" w:line="240" w:lineRule="auto"/>
        <w:jc w:val="both"/>
      </w:pPr>
      <w:bookmarkStart w:id="210" w:name="_Toc243068744"/>
      <w:r w:rsidRPr="00B33274">
        <w:t>25.2 Neshoda ve výsledcích povrchové ochrany</w:t>
      </w:r>
      <w:bookmarkEnd w:id="210"/>
    </w:p>
    <w:p w14:paraId="2FD3A8D4" w14:textId="77777777" w:rsidR="00C701BE" w:rsidRPr="00B33274" w:rsidRDefault="00000000" w:rsidP="00DA3257">
      <w:pPr>
        <w:spacing w:line="240" w:lineRule="auto"/>
        <w:jc w:val="both"/>
      </w:pPr>
      <w:r w:rsidRPr="00B33274">
        <w:t>Dodavatel předloží vyhovující průměr tloušťky vrstvy, zatímco odběratel zjistí lokálně nízké hodnoty. Nejprve se porovnají kritéria: požaduje zadání průměr, místní minimum, nebo jinou charakteristiku? Následně se prověří místa měření, vliv podkladu, geometrie a stav měřidla. Rozdíl nemusí být sporem o číslo, ale o různé vymezení požadavku.</w:t>
      </w:r>
    </w:p>
    <w:p w14:paraId="6600916C" w14:textId="77777777" w:rsidR="00C701BE" w:rsidRPr="00B33274" w:rsidRDefault="00000000" w:rsidP="00DA3257">
      <w:pPr>
        <w:spacing w:line="240" w:lineRule="auto"/>
        <w:jc w:val="both"/>
      </w:pPr>
      <w:r w:rsidRPr="00B33274">
        <w:t>Doplňující kontrola má mít předem stanovenou síť míst a pravidlo hodnocení. Není správné vybírat pouze nejhorší body pro odmítnutí ani pouze nejlepší pro přijetí. Pokud se prokáže systematická slabina, posuďte, které další kusy prošly stejným procesem. Náprava jednoho viditelného místa neřeší automaticky rozsah celé neshody.</w:t>
      </w:r>
    </w:p>
    <w:p w14:paraId="3ED7D638" w14:textId="77777777" w:rsidR="00C701BE" w:rsidRPr="00B33274" w:rsidRDefault="00000000" w:rsidP="00DA3257">
      <w:pPr>
        <w:pStyle w:val="Nadpis2"/>
        <w:spacing w:before="0" w:line="240" w:lineRule="auto"/>
        <w:jc w:val="both"/>
      </w:pPr>
      <w:bookmarkStart w:id="211" w:name="_Toc243068745"/>
      <w:r w:rsidRPr="00B33274">
        <w:t>25.3 Nesoulad provozní bilance vody</w:t>
      </w:r>
      <w:bookmarkEnd w:id="211"/>
    </w:p>
    <w:p w14:paraId="7941F117" w14:textId="77777777" w:rsidR="00C701BE" w:rsidRPr="00B33274" w:rsidRDefault="00000000" w:rsidP="00DA3257">
      <w:pPr>
        <w:spacing w:line="240" w:lineRule="auto"/>
        <w:jc w:val="both"/>
      </w:pPr>
      <w:r w:rsidRPr="00B33274">
        <w:t>Rozdíl mezi vstupem a součtem odběrů může znamenat únik, ale také rozdílné časové vymezení, změnu zásoby, chybu přístroje nebo chybějící větev. Nejdříve sjednoťte období, jednotky a hranice soustavy. Bilance bez změny zásoby je správná jen tehdy, pokud je změna zanedbatelná nebo již zahrnutá.</w:t>
      </w:r>
    </w:p>
    <w:p w14:paraId="71CAFBE2" w14:textId="77777777" w:rsidR="00C701BE" w:rsidRPr="00B33274" w:rsidRDefault="00000000" w:rsidP="00DA3257">
      <w:pPr>
        <w:spacing w:line="240" w:lineRule="auto"/>
        <w:jc w:val="both"/>
      </w:pPr>
      <w:r w:rsidRPr="00B33274">
        <w:t>Prověřte také platnost a skutečné použití měřidel, průtokové rozsahy, směr proudění a způsob odečtu. Malý průtok mimo vhodný rozsah může mít jinou nejistotu než běžný provoz. Při automatickém přenosu porovnejte místní součet s uloženými daty a ověřte zacházení s výpadky. Chybějící intervaly se nesmějí bez rozlišení započítat jako nulová spotřeba.</w:t>
      </w:r>
    </w:p>
    <w:p w14:paraId="132E091C" w14:textId="77777777" w:rsidR="00C701BE" w:rsidRPr="00B33274" w:rsidRDefault="00000000" w:rsidP="00DA3257">
      <w:pPr>
        <w:spacing w:line="240" w:lineRule="auto"/>
        <w:jc w:val="both"/>
      </w:pPr>
      <w:r w:rsidRPr="00B33274">
        <w:t>Teprve po tomto prověření rozdělte síť na menší úseky a hledejte fyzickou ztrátu. Závěr uveďte s vědomím nejistot jednotlivých členů. Čím menší rozdíl se má prokazovat, tím významnější je správné časování a metrologická úroveň celé bilance.</w:t>
      </w:r>
    </w:p>
    <w:p w14:paraId="68204253" w14:textId="77777777" w:rsidR="00C701BE" w:rsidRPr="00B33274" w:rsidRDefault="00000000" w:rsidP="00DA3257">
      <w:pPr>
        <w:pStyle w:val="Nadpis2"/>
        <w:spacing w:before="0" w:line="240" w:lineRule="auto"/>
        <w:jc w:val="both"/>
      </w:pPr>
      <w:bookmarkStart w:id="212" w:name="_Toc243068746"/>
      <w:r w:rsidRPr="00B33274">
        <w:t>25.4 Dodavatel změnil materiál bez oznámení</w:t>
      </w:r>
      <w:bookmarkEnd w:id="212"/>
    </w:p>
    <w:p w14:paraId="389D4B1C" w14:textId="77777777" w:rsidR="00C701BE" w:rsidRPr="00B33274" w:rsidRDefault="00000000" w:rsidP="00DA3257">
      <w:pPr>
        <w:spacing w:line="240" w:lineRule="auto"/>
        <w:jc w:val="both"/>
      </w:pPr>
      <w:r w:rsidRPr="00B33274">
        <w:t>Při opakované závadě těsnění vyjde najevo jiné materiálové provedení při stejném katalogovém čísle. Zajistěte identifikaci dodávek, porovnejte dokumenty a ověřte rozsah použití nového materiálu. Následně určete dotčené zásoby i instalované kusy. Posouzení musí zahrnout médium, teplotu a důsledky možné poruchy.</w:t>
      </w:r>
    </w:p>
    <w:p w14:paraId="05574CAA" w14:textId="77777777" w:rsidR="00C701BE" w:rsidRPr="00B33274" w:rsidRDefault="00000000" w:rsidP="00DA3257">
      <w:pPr>
        <w:spacing w:line="240" w:lineRule="auto"/>
        <w:jc w:val="both"/>
      </w:pPr>
      <w:r w:rsidRPr="00B33274">
        <w:t>S dodavatelem řešte příčinu neoznámené změny a pravidla do budoucna. Vlastní nákupní dokumentaci doplňte tak, aby rozhodující vlastnost nebyla vyjádřena jen katalogovým odkazem. Účinné opatření spojuje technické ověření, sledovatelnost a řízení změn; samotná výměna právě reklamovaných kusů tuto potřebu neuzavírá.</w:t>
      </w:r>
    </w:p>
    <w:p w14:paraId="0124C0EC" w14:textId="77777777" w:rsidR="00C701BE" w:rsidRPr="00B33274" w:rsidRDefault="00000000" w:rsidP="00DA3257">
      <w:pPr>
        <w:pStyle w:val="Nadpis1"/>
        <w:spacing w:before="0" w:line="240" w:lineRule="auto"/>
        <w:jc w:val="both"/>
      </w:pPr>
      <w:bookmarkStart w:id="213" w:name="_Toc243068435"/>
      <w:bookmarkStart w:id="214" w:name="_Toc243068747"/>
      <w:bookmarkStart w:id="215" w:name="_Toc243068792"/>
      <w:bookmarkStart w:id="216" w:name="_Toc243071059"/>
      <w:r w:rsidRPr="00B33274">
        <w:t>26 Podrobnější rozpočet nejistoty měření</w:t>
      </w:r>
      <w:bookmarkEnd w:id="213"/>
      <w:bookmarkEnd w:id="214"/>
      <w:bookmarkEnd w:id="215"/>
      <w:bookmarkEnd w:id="216"/>
    </w:p>
    <w:p w14:paraId="7A09C2D2" w14:textId="77777777" w:rsidR="00C701BE" w:rsidRPr="00B33274" w:rsidRDefault="00000000" w:rsidP="00DA3257">
      <w:pPr>
        <w:pStyle w:val="Nadpis2"/>
        <w:spacing w:before="0" w:line="240" w:lineRule="auto"/>
        <w:jc w:val="both"/>
      </w:pPr>
      <w:bookmarkStart w:id="217" w:name="_Toc243068748"/>
      <w:r w:rsidRPr="00B33274">
        <w:t>26.1 Měřicí model jako výchozí bod</w:t>
      </w:r>
      <w:bookmarkEnd w:id="217"/>
    </w:p>
    <w:p w14:paraId="6383EF1E" w14:textId="77777777" w:rsidR="00C701BE" w:rsidRPr="00B33274" w:rsidRDefault="00000000" w:rsidP="00DA3257">
      <w:pPr>
        <w:spacing w:line="240" w:lineRule="auto"/>
        <w:jc w:val="both"/>
      </w:pPr>
      <w:r w:rsidRPr="00B33274">
        <w:t>Rozpočet nejistoty začíná popisem toho, jak výsledek vzniká. Při stanovení průtoku z objemu a času je výsledkem podíl obou veličin. Při určení tlakové diference se odečítají dvě hodnoty. Při převodu signálu na koncentraci se uplatní kalibrační vztah. Z modelu musí být zřejmé, které vstupy výsledek ovlivňují a jakým směrem.</w:t>
      </w:r>
    </w:p>
    <w:p w14:paraId="57794ECE" w14:textId="77777777" w:rsidR="00C701BE" w:rsidRPr="00B33274" w:rsidRDefault="00000000" w:rsidP="00DA3257">
      <w:pPr>
        <w:spacing w:line="240" w:lineRule="auto"/>
        <w:jc w:val="both"/>
      </w:pPr>
      <w:r w:rsidRPr="00B33274">
        <w:lastRenderedPageBreak/>
        <w:t>Nezahrnujte pouze to, co je snadno dostupné v kalibračním listu. Mohou být významné ztráty při manipulaci, teplotní roztažnost, odečet hladiny, nestabilita procesu nebo nerovnoměrnost vzorku. Současně nezdvojujte stejný vliv, jestliže již byl zachycen například rozptylem opakovaných měření. Správný rozpočet má vysvětlit fyzikální a pracovní souvislosti, nejen vytvořit součet položek.</w:t>
      </w:r>
    </w:p>
    <w:p w14:paraId="63D106CE" w14:textId="77777777" w:rsidR="00C701BE" w:rsidRPr="00B33274" w:rsidRDefault="00000000" w:rsidP="00DA3257">
      <w:pPr>
        <w:pStyle w:val="Nadpis2"/>
        <w:spacing w:before="0" w:line="240" w:lineRule="auto"/>
        <w:jc w:val="both"/>
      </w:pPr>
      <w:bookmarkStart w:id="218" w:name="_Toc243068749"/>
      <w:r w:rsidRPr="00B33274">
        <w:t>26.2 Převod údajů na standardní nejistoty</w:t>
      </w:r>
      <w:bookmarkEnd w:id="218"/>
    </w:p>
    <w:p w14:paraId="64FF0219" w14:textId="77777777" w:rsidR="00C701BE" w:rsidRPr="00B33274" w:rsidRDefault="00000000" w:rsidP="00DA3257">
      <w:pPr>
        <w:spacing w:line="240" w:lineRule="auto"/>
        <w:jc w:val="both"/>
      </w:pPr>
      <w:r w:rsidRPr="00B33274">
        <w:t>Údaje pocházejí z různých zdrojů. Kalibrační list může uvádět rozšířenou nejistotu s faktorem pokrytí, výrobce mez odchylky a experiment směrodatnou odchylku. Před složením je nutné je převést na srovnatelný základ. Rozšířená nejistota se při odpovídajícím vymezení dělí příslušným faktorem pokrytí. U intervalu možných hodnot je třeba odůvodnit předpokládané rozdělení.</w:t>
      </w:r>
    </w:p>
    <w:p w14:paraId="26005D30" w14:textId="77777777" w:rsidR="00C701BE" w:rsidRPr="00B33274" w:rsidRDefault="00000000" w:rsidP="00DA3257">
      <w:pPr>
        <w:spacing w:line="240" w:lineRule="auto"/>
        <w:jc w:val="both"/>
      </w:pPr>
      <w:r w:rsidRPr="00B33274">
        <w:t>Je-li rozlišení displeje 0,01 mm a zaokrouhlení lze modelovat rovnoměrným rozdělením v intervalu poloviny kroku na obě strany, standardní příspěvek rozlišení je přibližně 0,0029 mm. Tento výsledek platí pro uvedený model, nikoli automaticky pro každé digitální měřidlo. Kolísání indikace nebo interní zpracování může vyžadovat jiné posouzení.</w:t>
      </w:r>
    </w:p>
    <w:p w14:paraId="7703C7AF" w14:textId="77777777" w:rsidR="00C701BE" w:rsidRPr="00B33274" w:rsidRDefault="00000000" w:rsidP="00DA3257">
      <w:pPr>
        <w:pStyle w:val="Nadpis2"/>
        <w:spacing w:before="0" w:line="240" w:lineRule="auto"/>
        <w:jc w:val="both"/>
      </w:pPr>
      <w:bookmarkStart w:id="219" w:name="_Toc243068750"/>
      <w:r w:rsidRPr="00B33274">
        <w:t>26.3 Příklad objemového stanovení průtoku</w:t>
      </w:r>
      <w:bookmarkEnd w:id="219"/>
    </w:p>
    <w:p w14:paraId="67108F31" w14:textId="77777777" w:rsidR="00C701BE" w:rsidRPr="00B33274" w:rsidRDefault="00000000" w:rsidP="00DA3257">
      <w:pPr>
        <w:spacing w:line="240" w:lineRule="auto"/>
        <w:jc w:val="both"/>
      </w:pPr>
      <w:r w:rsidRPr="00B33274">
        <w:t>Za 120,0 s bylo zachyceno 60,0 l vody. Odhad průtoku je 0,500 l/s. Předpokládejme nezávislé standardní nejistoty objemu 0,12 l a času 0,20 s; ostatní vlivy jsou pro tento výukový příklad zanedbány. Relativní příspěvky jsou 0,20 % a přibližně 0,167 %. Jejich kvadratické složení dává přibližně 0,260 %.</w:t>
      </w:r>
    </w:p>
    <w:p w14:paraId="01522624" w14:textId="77777777" w:rsidR="00C701BE" w:rsidRPr="00B33274" w:rsidRDefault="00000000" w:rsidP="00DA3257">
      <w:pPr>
        <w:spacing w:line="240" w:lineRule="auto"/>
        <w:jc w:val="both"/>
      </w:pPr>
      <w:r w:rsidRPr="00B33274">
        <w:t>Kombinovaná standardní nejistota průtoku je tedy přibližně 0,00130 l/s. Při faktoru k = 2 je rozšířená nejistota přibližně 0,0026 l/s. Výsledek lze pro tento model zapsat jako 0,5000 l/s </w:t>
      </w:r>
      <w:proofErr w:type="spellStart"/>
      <w:r w:rsidRPr="00B33274">
        <w:t>s</w:t>
      </w:r>
      <w:proofErr w:type="spellEnd"/>
      <w:r w:rsidRPr="00B33274">
        <w:t> rozšířenou nejistotou 0,0026 l/s a uvedením faktoru pokrytí. Počet číslic a zaokrouhlení se volí v souladu s použitým postupem. Nejde o návrh úplného provozního měření; v něm se navíc řeší zachycení objemu, časování, případné ztráty a ustálení průtoku.</w:t>
      </w:r>
    </w:p>
    <w:p w14:paraId="478DF6AA" w14:textId="77777777" w:rsidR="00C701BE" w:rsidRPr="00B33274" w:rsidRDefault="00000000" w:rsidP="00DA3257">
      <w:pPr>
        <w:pStyle w:val="Nadpis2"/>
        <w:spacing w:before="0" w:line="240" w:lineRule="auto"/>
        <w:jc w:val="both"/>
      </w:pPr>
      <w:bookmarkStart w:id="220" w:name="_Toc243068751"/>
      <w:r w:rsidRPr="00B33274">
        <w:t>26.4 Korelace a dominantní příspěvek</w:t>
      </w:r>
      <w:bookmarkEnd w:id="220"/>
    </w:p>
    <w:p w14:paraId="2C3CAB75" w14:textId="77777777" w:rsidR="00C701BE" w:rsidRPr="00B33274" w:rsidRDefault="00000000" w:rsidP="00DA3257">
      <w:pPr>
        <w:spacing w:line="240" w:lineRule="auto"/>
        <w:jc w:val="both"/>
      </w:pPr>
      <w:r w:rsidRPr="00B33274">
        <w:t>Vstupy nemusí být nezávislé. Dvě měření provedená stejným přístrojem mohou sdílet kalibrační vliv, dvě koncentrace mohou záviset na stejné přípravě roztoku. Korelace může při výpočtu rozdílu nebo poměru nejistotu změnit. Její vynechání proto musí být odůvodněné, nikoli automatické.</w:t>
      </w:r>
    </w:p>
    <w:p w14:paraId="2E8A6253" w14:textId="77777777" w:rsidR="00C701BE" w:rsidRPr="00B33274" w:rsidRDefault="00000000" w:rsidP="00DA3257">
      <w:pPr>
        <w:spacing w:line="240" w:lineRule="auto"/>
        <w:jc w:val="both"/>
      </w:pPr>
      <w:r w:rsidRPr="00B33274">
        <w:t>Po sestavení rozpočtu zjistěte dominantní příspěvky. Je-li rozhodující příprava vzorku, nákup přesnějšího času nebo lepšího displeje téměř nepomůže. Rozpočet se tak stává nástrojem zlepšování. Uchovávejte vstupní údaje, předpoklady a datum platnosti; změna metody nebo podmínek vyžaduje jeho přezkoumání. [12]</w:t>
      </w:r>
    </w:p>
    <w:p w14:paraId="0DEAD42F" w14:textId="77777777" w:rsidR="00C701BE" w:rsidRPr="00B33274" w:rsidRDefault="00000000" w:rsidP="00DA3257">
      <w:pPr>
        <w:pStyle w:val="Nadpis1"/>
        <w:spacing w:before="0" w:line="240" w:lineRule="auto"/>
        <w:jc w:val="both"/>
      </w:pPr>
      <w:bookmarkStart w:id="221" w:name="_Toc243068436"/>
      <w:bookmarkStart w:id="222" w:name="_Toc243068752"/>
      <w:bookmarkStart w:id="223" w:name="_Toc243068793"/>
      <w:bookmarkStart w:id="224" w:name="_Toc243071060"/>
      <w:r w:rsidRPr="00B33274">
        <w:t>27 Plánování zkoušek při vývoji výrobku</w:t>
      </w:r>
      <w:bookmarkEnd w:id="221"/>
      <w:bookmarkEnd w:id="222"/>
      <w:bookmarkEnd w:id="223"/>
      <w:bookmarkEnd w:id="224"/>
    </w:p>
    <w:p w14:paraId="04DAD43D" w14:textId="77777777" w:rsidR="00C701BE" w:rsidRPr="00B33274" w:rsidRDefault="00000000" w:rsidP="00DA3257">
      <w:pPr>
        <w:pStyle w:val="Nadpis2"/>
        <w:spacing w:before="0" w:line="240" w:lineRule="auto"/>
        <w:jc w:val="both"/>
      </w:pPr>
      <w:bookmarkStart w:id="225" w:name="_Toc243068753"/>
      <w:r w:rsidRPr="00B33274">
        <w:t>27.1 Nejprve určete otázku experimentu</w:t>
      </w:r>
      <w:bookmarkEnd w:id="225"/>
    </w:p>
    <w:p w14:paraId="5A0CCE5F" w14:textId="77777777" w:rsidR="00C701BE" w:rsidRPr="00B33274" w:rsidRDefault="00000000" w:rsidP="00DA3257">
      <w:pPr>
        <w:spacing w:line="240" w:lineRule="auto"/>
        <w:jc w:val="both"/>
      </w:pPr>
      <w:r w:rsidRPr="00B33274">
        <w:t>Vývojová zkouška má rozhodnout o konkrétní otázce: který materiál lépe odolává médiu, jak se projeví změna geometrie nebo zda je příčinou závady montážní postup. Bez předem formulované otázky vzniká množství hodnot, z nichž se obtížně odvozuje rozhodnutí. Určete měřenou odezvu, podmínky a velikost změny, kterou má zkouška rozpoznat.</w:t>
      </w:r>
    </w:p>
    <w:p w14:paraId="385604C7" w14:textId="77777777" w:rsidR="00C701BE" w:rsidRPr="00B33274" w:rsidRDefault="00000000" w:rsidP="00DA3257">
      <w:pPr>
        <w:spacing w:line="240" w:lineRule="auto"/>
        <w:jc w:val="both"/>
      </w:pPr>
      <w:r w:rsidRPr="00B33274">
        <w:t>Rozlišujte hledání příčiny a konečné potvrzení vlastnosti. Při hledání lze podmínky cíleně měnit a používat zjednodušené vzorky. Při potvrzení je nutné vrátit se ke skutečnému výrobku, určenému postupu a relevantním mezím. Úspěch modelového vzorku nepokrývá automaticky vliv výroby a sestavení celého zařízení.</w:t>
      </w:r>
    </w:p>
    <w:p w14:paraId="57022035" w14:textId="77777777" w:rsidR="00C701BE" w:rsidRPr="00B33274" w:rsidRDefault="00000000" w:rsidP="00DA3257">
      <w:pPr>
        <w:pStyle w:val="Nadpis2"/>
        <w:spacing w:before="0" w:line="240" w:lineRule="auto"/>
        <w:jc w:val="both"/>
      </w:pPr>
      <w:bookmarkStart w:id="226" w:name="_Toc243068754"/>
      <w:r w:rsidRPr="00B33274">
        <w:t>27.2 Faktory rušivé vlivy a opakování</w:t>
      </w:r>
      <w:bookmarkEnd w:id="226"/>
    </w:p>
    <w:p w14:paraId="079A69E6" w14:textId="77777777" w:rsidR="00C701BE" w:rsidRPr="00B33274" w:rsidRDefault="00000000" w:rsidP="00DA3257">
      <w:pPr>
        <w:spacing w:line="240" w:lineRule="auto"/>
        <w:jc w:val="both"/>
      </w:pPr>
      <w:r w:rsidRPr="00B33274">
        <w:t>Faktorem je řízeně měněná veličina, například materiál, teplota nebo utahovací moment. Odezvou může být únik, síla, deformace nebo příkon. Rušivé vlivy představují například den měření, šarže nebo rozdíly mezi obsluhou. Jejich uspořádání má zabránit tomu, aby byly zaměněny s účinkem zkoumaného faktoru.</w:t>
      </w:r>
    </w:p>
    <w:p w14:paraId="49DD4B76" w14:textId="77777777" w:rsidR="00C701BE" w:rsidRPr="00B33274" w:rsidRDefault="00000000" w:rsidP="00DA3257">
      <w:pPr>
        <w:spacing w:line="240" w:lineRule="auto"/>
        <w:jc w:val="both"/>
      </w:pPr>
      <w:r w:rsidRPr="00B33274">
        <w:t>Pokud se všechny kusy varianty A zkoušejí ráno a varianty B odpoledne, může se rozdíl teploty nesprávně připsat konstrukci. Pomáhá promíchat pořadí nebo vytvořit bloky se srovnatelnými podmínkami. Opakování musí odpovídat otázce: opakovaný odečet stejného kusu nezastupuje více nezávisle vyrobených kusů.</w:t>
      </w:r>
    </w:p>
    <w:p w14:paraId="49A4BC77" w14:textId="77777777" w:rsidR="00C701BE" w:rsidRPr="00B33274" w:rsidRDefault="00000000" w:rsidP="00DA3257">
      <w:pPr>
        <w:pStyle w:val="Nadpis2"/>
        <w:spacing w:before="0" w:line="240" w:lineRule="auto"/>
        <w:jc w:val="both"/>
      </w:pPr>
      <w:bookmarkStart w:id="227" w:name="_Toc243068755"/>
      <w:r w:rsidRPr="00B33274">
        <w:lastRenderedPageBreak/>
        <w:t>27.3 Současné působení faktorů</w:t>
      </w:r>
      <w:bookmarkEnd w:id="227"/>
    </w:p>
    <w:p w14:paraId="4FDF0FD3" w14:textId="77777777" w:rsidR="00C701BE" w:rsidRPr="00B33274" w:rsidRDefault="00000000" w:rsidP="00DA3257">
      <w:pPr>
        <w:spacing w:line="240" w:lineRule="auto"/>
        <w:jc w:val="both"/>
      </w:pPr>
      <w:r w:rsidRPr="00B33274">
        <w:t>Při změně vždy jediného faktoru lze přehlédnout jejich vzájemné působení. Materiál může fungovat dobře při jedné teplotě a hůře při jiné. Montážní moment může mít odlišný účinek podle typu těsnění. Rozumně navržený experiment proto zahrne kombinace, které mohou odhalit tyto vztahy.</w:t>
      </w:r>
    </w:p>
    <w:p w14:paraId="3B6EEF63" w14:textId="77777777" w:rsidR="00C701BE" w:rsidRPr="00B33274" w:rsidRDefault="00000000" w:rsidP="00DA3257">
      <w:pPr>
        <w:spacing w:line="240" w:lineRule="auto"/>
        <w:jc w:val="both"/>
      </w:pPr>
      <w:r w:rsidRPr="00B33274">
        <w:t>Jednoduchý výukový plán porovná dvě těsnění při dvou teplotách a stejném tlaku. V každé kombinaci se zkouší více nezávislých vzorků a pořadí se uspořádá tak, aby časový vliv nebyl zaměněn s teplotou. Přesný počet se odvodí od variability, očekávaného rozdílu a potřebné věrohodnosti, nikoli z obecného pravidla „tři kusy vždy stačí“.</w:t>
      </w:r>
    </w:p>
    <w:p w14:paraId="29E28BB9" w14:textId="77777777" w:rsidR="00C701BE" w:rsidRPr="00B33274" w:rsidRDefault="00000000" w:rsidP="00DA3257">
      <w:pPr>
        <w:pStyle w:val="Nadpis2"/>
        <w:spacing w:before="0" w:line="240" w:lineRule="auto"/>
        <w:jc w:val="both"/>
      </w:pPr>
      <w:bookmarkStart w:id="228" w:name="_Toc243068756"/>
      <w:r w:rsidRPr="00B33274">
        <w:t>27.4 Výsledek a jeho přenos do konstrukce</w:t>
      </w:r>
      <w:bookmarkEnd w:id="228"/>
    </w:p>
    <w:p w14:paraId="7316FB1D" w14:textId="77777777" w:rsidR="00C701BE" w:rsidRPr="00B33274" w:rsidRDefault="00000000" w:rsidP="00DA3257">
      <w:pPr>
        <w:spacing w:line="240" w:lineRule="auto"/>
        <w:jc w:val="both"/>
      </w:pPr>
      <w:r w:rsidRPr="00B33274">
        <w:t>Před analýzou zkontrolujte průběh a odchylky. Následně porovnejte velikost účinku s jeho nejistotou a s technickým významem. Statisticky zjistitelný rozdíl může být pro výrobek zanedbatelný; technicky důležitý rozdíl naopak nemusí malý experiment přesvědčivě zachytit. Neúspěšné rozlišení není důkazem naprosté rovnocennosti variant.</w:t>
      </w:r>
    </w:p>
    <w:p w14:paraId="53AC8F9B" w14:textId="77777777" w:rsidR="00C701BE" w:rsidRPr="00B33274" w:rsidRDefault="00000000" w:rsidP="00DA3257">
      <w:pPr>
        <w:spacing w:line="240" w:lineRule="auto"/>
        <w:jc w:val="both"/>
      </w:pPr>
      <w:r w:rsidRPr="00B33274">
        <w:t>Zpráva má uvést, v jakém rozsahu podmínek závěr platí a co ještě nebylo ověřeno. Vybraná varianta projde navazujícím potvrzením v relevantním provedení. Do konstrukční dokumentace se přenese nejen vybraný materiál nebo rozměr, ale také rozhodné výrobní a montážní podmínky. Jinak může sériová výroba ztratit vlastnost, kterou vývojový experiment prokázal.</w:t>
      </w:r>
    </w:p>
    <w:p w14:paraId="1E0E01C1" w14:textId="77777777" w:rsidR="00C701BE" w:rsidRPr="00B33274" w:rsidRDefault="00000000" w:rsidP="00DA3257">
      <w:pPr>
        <w:pStyle w:val="Nadpis1"/>
        <w:spacing w:before="0" w:line="240" w:lineRule="auto"/>
        <w:jc w:val="both"/>
      </w:pPr>
      <w:bookmarkStart w:id="229" w:name="_Toc243068437"/>
      <w:bookmarkStart w:id="230" w:name="_Toc243068757"/>
      <w:bookmarkStart w:id="231" w:name="_Toc243068794"/>
      <w:bookmarkStart w:id="232" w:name="_Toc243071061"/>
      <w:r w:rsidRPr="00B33274">
        <w:t>28 Technická zpráva a předávání výsledků</w:t>
      </w:r>
      <w:bookmarkEnd w:id="229"/>
      <w:bookmarkEnd w:id="230"/>
      <w:bookmarkEnd w:id="231"/>
      <w:bookmarkEnd w:id="232"/>
    </w:p>
    <w:p w14:paraId="1A6617CA" w14:textId="77777777" w:rsidR="00C701BE" w:rsidRPr="00B33274" w:rsidRDefault="00000000" w:rsidP="00DA3257">
      <w:pPr>
        <w:pStyle w:val="Nadpis2"/>
        <w:spacing w:before="0" w:line="240" w:lineRule="auto"/>
        <w:jc w:val="both"/>
      </w:pPr>
      <w:bookmarkStart w:id="233" w:name="_Toc243068758"/>
      <w:r w:rsidRPr="00B33274">
        <w:t>28.1 Zpráva musí umožnit správné rozhodnutí</w:t>
      </w:r>
      <w:bookmarkEnd w:id="233"/>
    </w:p>
    <w:p w14:paraId="59AB6F95" w14:textId="77777777" w:rsidR="00C701BE" w:rsidRPr="00B33274" w:rsidRDefault="00000000" w:rsidP="00DA3257">
      <w:pPr>
        <w:spacing w:line="240" w:lineRule="auto"/>
        <w:jc w:val="both"/>
      </w:pPr>
      <w:r w:rsidRPr="00B33274">
        <w:t>Technická zpráva má příjemci vysvětlit, co bylo ověřováno, jak a s jakým výsledkem. Začněte účelem a jednoznačnou identifikací předmětu. Uveďte požadavky a hranice úkolu. Čtenář nesmí z formulace „zkouška vyhověla“ dovozovat, že byly prověřeny také vlastnosti, které do zadání nepatřily.</w:t>
      </w:r>
    </w:p>
    <w:p w14:paraId="20E480BF" w14:textId="77777777" w:rsidR="00C701BE" w:rsidRPr="00B33274" w:rsidRDefault="00000000" w:rsidP="00DA3257">
      <w:pPr>
        <w:spacing w:line="240" w:lineRule="auto"/>
        <w:jc w:val="both"/>
      </w:pPr>
      <w:r w:rsidRPr="00B33274">
        <w:t>Oddělte naměřené údaje, jejich vyhodnocení a doporučení. Údaj o úniku je výsledek; porovnání s mezí je hodnocení; návrh změnit těsnění je doporučení. Jejich propojení musí být vysvětlitelné, ale jejich význam nesmí splývat. Tam, kde není důkaz pro závěr, popište omezení a způsob, jak je odstranit.</w:t>
      </w:r>
    </w:p>
    <w:p w14:paraId="792BDC27" w14:textId="77777777" w:rsidR="00C701BE" w:rsidRPr="00B33274" w:rsidRDefault="00000000" w:rsidP="00DA3257">
      <w:pPr>
        <w:pStyle w:val="Nadpis2"/>
        <w:spacing w:before="0" w:line="240" w:lineRule="auto"/>
        <w:jc w:val="both"/>
      </w:pPr>
      <w:bookmarkStart w:id="234" w:name="_Toc243068759"/>
      <w:r w:rsidRPr="00B33274">
        <w:t>28.2 Tabulky grafy a jednotky</w:t>
      </w:r>
      <w:bookmarkEnd w:id="234"/>
    </w:p>
    <w:p w14:paraId="22A9A9EC" w14:textId="77777777" w:rsidR="00C701BE" w:rsidRPr="00B33274" w:rsidRDefault="00000000" w:rsidP="00DA3257">
      <w:pPr>
        <w:spacing w:line="240" w:lineRule="auto"/>
        <w:jc w:val="both"/>
      </w:pPr>
      <w:r w:rsidRPr="00B33274">
        <w:t>V tabulce dejte každé veličině jasný název a jednotku. Význam zkratek vysvětlete. U více vzorků zachovejte vazbu na identifikaci. Výsledky pod mezí stanovitelnosti, nezměřené a neplatné hodnoty mají mít odlišné a vysvětlené označení. Prázdná buňka jinak může znamenat několik neslučitelných věcí.</w:t>
      </w:r>
    </w:p>
    <w:p w14:paraId="61E88FFC" w14:textId="77777777" w:rsidR="00C701BE" w:rsidRPr="00B33274" w:rsidRDefault="00000000" w:rsidP="00DA3257">
      <w:pPr>
        <w:spacing w:line="240" w:lineRule="auto"/>
        <w:jc w:val="both"/>
      </w:pPr>
      <w:r w:rsidRPr="00B33274">
        <w:t>Graf má mít označené osy, jednotky, legendu a popsané podmínky. Pokud porovnáváte varianty, používejte srovnatelné měřítko. Vhodné je zobrazit jednotlivé výsledky nebo proměnlivost, nejen sloupce průměrů. U časových řad zachovejte informaci o přerušení a změně režimu. Vyhlazení nesmí skrýt rozhodující extrém bez upozornění.</w:t>
      </w:r>
    </w:p>
    <w:p w14:paraId="31E89ACD" w14:textId="77777777" w:rsidR="00C701BE" w:rsidRPr="00B33274" w:rsidRDefault="00000000" w:rsidP="00DA3257">
      <w:pPr>
        <w:pStyle w:val="Nadpis2"/>
        <w:spacing w:before="0" w:line="240" w:lineRule="auto"/>
        <w:jc w:val="both"/>
      </w:pPr>
      <w:bookmarkStart w:id="235" w:name="_Toc243068760"/>
      <w:r w:rsidRPr="00B33274">
        <w:t>28.3 Přiměřená přesnost formulace</w:t>
      </w:r>
      <w:bookmarkEnd w:id="235"/>
    </w:p>
    <w:p w14:paraId="438785A9" w14:textId="77777777" w:rsidR="00C701BE" w:rsidRPr="00B33274" w:rsidRDefault="00000000" w:rsidP="00DA3257">
      <w:pPr>
        <w:spacing w:line="240" w:lineRule="auto"/>
        <w:jc w:val="both"/>
      </w:pPr>
      <w:r w:rsidRPr="00B33274">
        <w:t>Pište závěr v rozsahu skutečného důkazu. Jednorázové ověření při určité teplotě opravňuje k závěru pro tyto podmínky. Rozšíření na celý rozsah použití musí být podloženo dalším argumentem nebo zkouškami. Vyhněte se také nevymezeným slovům „výrazně“ a „dostatečně“, pokud není uvedeno, vůči jakému kritériu se vztahují.</w:t>
      </w:r>
    </w:p>
    <w:p w14:paraId="411F8068" w14:textId="77777777" w:rsidR="00C701BE" w:rsidRPr="00B33274" w:rsidRDefault="00000000" w:rsidP="00DA3257">
      <w:pPr>
        <w:spacing w:line="240" w:lineRule="auto"/>
        <w:jc w:val="both"/>
      </w:pPr>
      <w:r w:rsidRPr="00B33274">
        <w:t>Zaokrouhlení výsledku nesmí účelově rozhodnout o přijetí. Uchovávejte pracovní přesnost a hodnoticí postup stanovte předem. Při uvádění nejistoty doplňte její druh a potřebné podmínky interpretace. Kopírovaná formulace bez vazby na skutečný výpočet může být stejně zavádějící jako chybějící údaj.</w:t>
      </w:r>
    </w:p>
    <w:p w14:paraId="708DF1B7" w14:textId="77777777" w:rsidR="00C701BE" w:rsidRPr="00B33274" w:rsidRDefault="00000000" w:rsidP="00DA3257">
      <w:pPr>
        <w:pStyle w:val="Nadpis2"/>
        <w:spacing w:before="0" w:line="240" w:lineRule="auto"/>
        <w:jc w:val="both"/>
      </w:pPr>
      <w:bookmarkStart w:id="236" w:name="_Toc243068761"/>
      <w:r w:rsidRPr="00B33274">
        <w:t>28.4 Revize zprávy a schválení</w:t>
      </w:r>
      <w:bookmarkEnd w:id="236"/>
    </w:p>
    <w:p w14:paraId="107EF4D1" w14:textId="77777777" w:rsidR="00C701BE" w:rsidRPr="00B33274" w:rsidRDefault="00000000" w:rsidP="00DA3257">
      <w:pPr>
        <w:spacing w:line="240" w:lineRule="auto"/>
        <w:jc w:val="both"/>
      </w:pPr>
      <w:r w:rsidRPr="00B33274">
        <w:t>Před vydáním zkontrolujte identitu, jednotky, přepisy, vzorce, odkazy na přílohy a soulad závěru s kritérii. U významného rozhodnutí je užitečná nezávislá odborná kontrola. Nemá se omezit na jazykovou korekturu; kontrolující musí rozumět tomu, zda data dovolují uváděný závěr.</w:t>
      </w:r>
    </w:p>
    <w:p w14:paraId="7182A8CD" w14:textId="77777777" w:rsidR="00C701BE" w:rsidRPr="00B33274" w:rsidRDefault="00000000" w:rsidP="00DA3257">
      <w:pPr>
        <w:spacing w:line="240" w:lineRule="auto"/>
        <w:jc w:val="both"/>
      </w:pPr>
      <w:r w:rsidRPr="00B33274">
        <w:lastRenderedPageBreak/>
        <w:t>Opravená zpráva musí být jednoznačně odlišena a </w:t>
      </w:r>
      <w:proofErr w:type="spellStart"/>
      <w:r w:rsidRPr="00B33274">
        <w:t>dohledatelně</w:t>
      </w:r>
      <w:proofErr w:type="spellEnd"/>
      <w:r w:rsidRPr="00B33274">
        <w:t xml:space="preserve"> navázána na předchozí vydání. Příjemce potřebuje vědět, co se změnilo a zda oprava ovlivnila rozhodnutí. Tichá záměna souboru stejného jména může způsobit, že různé útvary budou nadále pracovat s různými výsledky.</w:t>
      </w:r>
    </w:p>
    <w:p w14:paraId="3C92A720" w14:textId="77777777" w:rsidR="00C701BE" w:rsidRPr="00B33274" w:rsidRDefault="00000000" w:rsidP="00DA3257">
      <w:pPr>
        <w:pStyle w:val="Nadpis2"/>
        <w:spacing w:before="0" w:line="240" w:lineRule="auto"/>
        <w:jc w:val="both"/>
      </w:pPr>
      <w:bookmarkStart w:id="237" w:name="_Toc243068762"/>
      <w:r w:rsidRPr="00B33274">
        <w:t>28.5 Předání do provozu</w:t>
      </w:r>
      <w:bookmarkEnd w:id="237"/>
    </w:p>
    <w:p w14:paraId="61224AC5" w14:textId="77777777" w:rsidR="00C701BE" w:rsidRPr="00B33274" w:rsidRDefault="00000000" w:rsidP="00DA3257">
      <w:pPr>
        <w:spacing w:line="240" w:lineRule="auto"/>
        <w:jc w:val="both"/>
      </w:pPr>
      <w:r w:rsidRPr="00B33274">
        <w:t>Při předání převeďte závěry do konkrétních úkolů: jaké nastavení platí, co se kontroluje, v jakém termínu a kdo reaguje. Uchovejte technickou zprávu i rozhodnutí, které z ní vzniklo. Tím se uzavírá vazba mezi měřením a praxí. Dobře zpracovaný výsledek má být použitelný i pro pracovníka, který u původní zkoušky nebyl a potřebuje rozhodnutí po letech ověřit.</w:t>
      </w:r>
    </w:p>
    <w:p w14:paraId="7B9B40BA" w14:textId="77777777" w:rsidR="00C701BE" w:rsidRPr="00B33274" w:rsidRDefault="00000000" w:rsidP="00DA3257">
      <w:pPr>
        <w:pStyle w:val="Nadpis1"/>
        <w:spacing w:before="0" w:line="240" w:lineRule="auto"/>
        <w:jc w:val="both"/>
      </w:pPr>
      <w:bookmarkStart w:id="238" w:name="_Toc243068438"/>
      <w:bookmarkStart w:id="239" w:name="_Toc243068763"/>
      <w:bookmarkStart w:id="240" w:name="_Toc243068795"/>
      <w:bookmarkStart w:id="241" w:name="_Toc243071062"/>
      <w:r w:rsidRPr="00B33274">
        <w:t>29 Slovníček a přehled institucí</w:t>
      </w:r>
      <w:bookmarkEnd w:id="238"/>
      <w:bookmarkEnd w:id="239"/>
      <w:bookmarkEnd w:id="240"/>
      <w:bookmarkEnd w:id="241"/>
    </w:p>
    <w:p w14:paraId="0E0F259F" w14:textId="77777777" w:rsidR="00C701BE" w:rsidRPr="00B33274" w:rsidRDefault="00000000" w:rsidP="00DA3257">
      <w:pPr>
        <w:spacing w:line="240" w:lineRule="auto"/>
        <w:jc w:val="both"/>
      </w:pPr>
      <w:r w:rsidRPr="00FE00D7">
        <w:rPr>
          <w:b/>
          <w:bCs/>
        </w:rPr>
        <w:t>Akreditace</w:t>
      </w:r>
      <w:r w:rsidRPr="00B33274">
        <w:t>. Potvrzení kompetence subjektu pro vymezené činnosti; ověřuje se vždy společně s rozsahem.</w:t>
      </w:r>
    </w:p>
    <w:p w14:paraId="7622F696" w14:textId="77777777" w:rsidR="00C701BE" w:rsidRPr="00B33274" w:rsidRDefault="00000000" w:rsidP="00DA3257">
      <w:pPr>
        <w:spacing w:line="240" w:lineRule="auto"/>
        <w:jc w:val="both"/>
      </w:pPr>
      <w:r w:rsidRPr="00FE00D7">
        <w:rPr>
          <w:b/>
          <w:bCs/>
        </w:rPr>
        <w:t>Autorizovaná osoba</w:t>
      </w:r>
      <w:r w:rsidRPr="00B33274">
        <w:t>. Subjekt pověřený ke konkrétním činnostem podle příslušného českého právního režimu.</w:t>
      </w:r>
    </w:p>
    <w:p w14:paraId="365AD0AE" w14:textId="77777777" w:rsidR="00C701BE" w:rsidRPr="00B33274" w:rsidRDefault="00000000" w:rsidP="00DA3257">
      <w:pPr>
        <w:spacing w:line="240" w:lineRule="auto"/>
        <w:jc w:val="both"/>
      </w:pPr>
      <w:r w:rsidRPr="00FE00D7">
        <w:rPr>
          <w:b/>
          <w:bCs/>
        </w:rPr>
        <w:t>ČSN</w:t>
      </w:r>
      <w:r w:rsidRPr="00B33274">
        <w:t>. Česká technická norma; pro praktické použití je rozhodující úplné označení, vydání a relevantní změny.</w:t>
      </w:r>
    </w:p>
    <w:p w14:paraId="5504642C" w14:textId="77777777" w:rsidR="00C701BE" w:rsidRPr="00B33274" w:rsidRDefault="00000000" w:rsidP="00DA3257">
      <w:pPr>
        <w:spacing w:line="240" w:lineRule="auto"/>
        <w:jc w:val="both"/>
      </w:pPr>
      <w:r w:rsidRPr="00FE00D7">
        <w:rPr>
          <w:b/>
          <w:bCs/>
        </w:rPr>
        <w:t>Harmonizovaná norma</w:t>
      </w:r>
      <w:r w:rsidRPr="00B33274">
        <w:t>. Evropská norma vytvořená na podporu harmonizačního předpisu EU; právní účinek jejího použití souvisí s příslušnou citací a rozsahem.</w:t>
      </w:r>
    </w:p>
    <w:p w14:paraId="2483D855" w14:textId="77777777" w:rsidR="00C701BE" w:rsidRPr="00B33274" w:rsidRDefault="00000000" w:rsidP="00DA3257">
      <w:pPr>
        <w:spacing w:line="240" w:lineRule="auto"/>
        <w:jc w:val="both"/>
      </w:pPr>
      <w:r w:rsidRPr="00FE00D7">
        <w:rPr>
          <w:b/>
          <w:bCs/>
        </w:rPr>
        <w:t>Metrologická návaznost</w:t>
      </w:r>
      <w:r w:rsidRPr="00B33274">
        <w:t>. Vztah výsledku k referenci prostřednictvím dokumentovaného řetězce kalibrací včetně jejich nejistot.</w:t>
      </w:r>
    </w:p>
    <w:p w14:paraId="710F0161" w14:textId="77777777" w:rsidR="00C701BE" w:rsidRPr="00B33274" w:rsidRDefault="00000000" w:rsidP="00DA3257">
      <w:pPr>
        <w:spacing w:line="240" w:lineRule="auto"/>
        <w:jc w:val="both"/>
      </w:pPr>
      <w:r w:rsidRPr="00FE00D7">
        <w:rPr>
          <w:b/>
          <w:bCs/>
        </w:rPr>
        <w:t>Nejistota měření</w:t>
      </w:r>
      <w:r w:rsidRPr="00B33274">
        <w:t>. Parametr charakterizující rozptýlení hodnot přiřazovaných měřené veličině na základě dostupných informací.</w:t>
      </w:r>
    </w:p>
    <w:p w14:paraId="67B4D189" w14:textId="77777777" w:rsidR="00C701BE" w:rsidRPr="00B33274" w:rsidRDefault="00000000" w:rsidP="00DA3257">
      <w:pPr>
        <w:spacing w:line="240" w:lineRule="auto"/>
        <w:jc w:val="both"/>
      </w:pPr>
      <w:r w:rsidRPr="00FE00D7">
        <w:rPr>
          <w:b/>
          <w:bCs/>
        </w:rPr>
        <w:t>Oznámený subjekt</w:t>
      </w:r>
      <w:r w:rsidRPr="00B33274">
        <w:t>. Subjekt oznámený pro konkrétní činnosti posuzování shody podle příslušných předpisů EU.</w:t>
      </w:r>
    </w:p>
    <w:p w14:paraId="1ED752CF" w14:textId="77777777" w:rsidR="00C701BE" w:rsidRPr="00B33274" w:rsidRDefault="00000000" w:rsidP="00DA3257">
      <w:pPr>
        <w:spacing w:line="240" w:lineRule="auto"/>
        <w:jc w:val="both"/>
      </w:pPr>
      <w:r w:rsidRPr="00FE00D7">
        <w:rPr>
          <w:b/>
          <w:bCs/>
        </w:rPr>
        <w:t>Rozhodovací pravidlo</w:t>
      </w:r>
      <w:r w:rsidRPr="00B33274">
        <w:t>. Pravidlo určující, jak se při výroku o shodě zohlední nejistota měření.</w:t>
      </w:r>
    </w:p>
    <w:p w14:paraId="4590811A" w14:textId="77777777" w:rsidR="00C701BE" w:rsidRDefault="00000000" w:rsidP="00DA3257">
      <w:pPr>
        <w:spacing w:line="240" w:lineRule="auto"/>
        <w:jc w:val="both"/>
      </w:pPr>
      <w:r w:rsidRPr="00FE00D7">
        <w:rPr>
          <w:b/>
          <w:bCs/>
        </w:rPr>
        <w:t>Validace metody</w:t>
      </w:r>
      <w:r w:rsidRPr="00B33274">
        <w:t>. Potvrzení, že metoda splňuje požadavky pro zamýšlené použití. Verifikace potvrzuje splnění stanovených požadavků; v laboratoři se například ověřuje schopnost správně zavést normovou metodu.</w:t>
      </w:r>
    </w:p>
    <w:p w14:paraId="6AD00A3A" w14:textId="77777777" w:rsidR="00FE00D7" w:rsidRPr="00B33274" w:rsidRDefault="00FE00D7" w:rsidP="00DA3257">
      <w:pPr>
        <w:spacing w:line="240" w:lineRule="auto"/>
        <w:jc w:val="both"/>
      </w:pPr>
    </w:p>
    <w:tbl>
      <w:tblPr>
        <w:tblStyle w:val="Mkatabulky"/>
        <w:tblW w:w="9298" w:type="dxa"/>
        <w:tblLayout w:type="fixed"/>
        <w:tblLook w:val="04A0" w:firstRow="1" w:lastRow="0" w:firstColumn="1" w:lastColumn="0" w:noHBand="0" w:noVBand="1"/>
      </w:tblPr>
      <w:tblGrid>
        <w:gridCol w:w="3397"/>
        <w:gridCol w:w="5901"/>
      </w:tblGrid>
      <w:tr w:rsidR="00C701BE" w:rsidRPr="000021FE" w14:paraId="236B5CB9" w14:textId="77777777" w:rsidTr="000021FE">
        <w:trPr>
          <w:cantSplit/>
          <w:tblHeader/>
        </w:trPr>
        <w:tc>
          <w:tcPr>
            <w:tcW w:w="3397" w:type="dxa"/>
          </w:tcPr>
          <w:p w14:paraId="53B59B3C" w14:textId="77777777" w:rsidR="00C701BE" w:rsidRPr="000021FE" w:rsidRDefault="00000000" w:rsidP="00DA3257">
            <w:pPr>
              <w:spacing w:line="240" w:lineRule="auto"/>
              <w:jc w:val="both"/>
            </w:pPr>
            <w:r w:rsidRPr="000021FE">
              <w:rPr>
                <w:b/>
              </w:rPr>
              <w:t>Instituce nebo zdroj</w:t>
            </w:r>
          </w:p>
        </w:tc>
        <w:tc>
          <w:tcPr>
            <w:tcW w:w="5901" w:type="dxa"/>
          </w:tcPr>
          <w:p w14:paraId="79113000" w14:textId="77777777" w:rsidR="00C701BE" w:rsidRPr="000021FE" w:rsidRDefault="00000000" w:rsidP="00DA3257">
            <w:pPr>
              <w:spacing w:line="240" w:lineRule="auto"/>
              <w:jc w:val="both"/>
            </w:pPr>
            <w:r w:rsidRPr="000021FE">
              <w:rPr>
                <w:b/>
              </w:rPr>
              <w:t>K čemu jej technik využije</w:t>
            </w:r>
          </w:p>
        </w:tc>
      </w:tr>
      <w:tr w:rsidR="00C701BE" w:rsidRPr="000021FE" w14:paraId="769001C9" w14:textId="77777777" w:rsidTr="000021FE">
        <w:trPr>
          <w:cantSplit/>
        </w:trPr>
        <w:tc>
          <w:tcPr>
            <w:tcW w:w="3397" w:type="dxa"/>
          </w:tcPr>
          <w:p w14:paraId="68D0EE43" w14:textId="77777777" w:rsidR="00C701BE" w:rsidRPr="000021FE" w:rsidRDefault="00000000" w:rsidP="00DA3257">
            <w:pPr>
              <w:spacing w:line="240" w:lineRule="auto"/>
              <w:jc w:val="both"/>
            </w:pPr>
            <w:r w:rsidRPr="000021FE">
              <w:t>Česká agentura pro standardizaci</w:t>
            </w:r>
          </w:p>
        </w:tc>
        <w:tc>
          <w:tcPr>
            <w:tcW w:w="5901" w:type="dxa"/>
          </w:tcPr>
          <w:p w14:paraId="32515E00" w14:textId="77777777" w:rsidR="00C701BE" w:rsidRPr="000021FE" w:rsidRDefault="00000000" w:rsidP="000021FE">
            <w:pPr>
              <w:spacing w:line="240" w:lineRule="auto"/>
            </w:pPr>
            <w:r w:rsidRPr="000021FE">
              <w:t>Vyhledání ČSN přístup k textům a informace o normalizaci</w:t>
            </w:r>
          </w:p>
        </w:tc>
      </w:tr>
      <w:tr w:rsidR="00C701BE" w:rsidRPr="000021FE" w14:paraId="6ED25812" w14:textId="77777777" w:rsidTr="000021FE">
        <w:trPr>
          <w:cantSplit/>
        </w:trPr>
        <w:tc>
          <w:tcPr>
            <w:tcW w:w="3397" w:type="dxa"/>
          </w:tcPr>
          <w:p w14:paraId="0DA1696B" w14:textId="77777777" w:rsidR="00C701BE" w:rsidRPr="000021FE" w:rsidRDefault="00000000" w:rsidP="00DA3257">
            <w:pPr>
              <w:spacing w:line="240" w:lineRule="auto"/>
              <w:jc w:val="both"/>
            </w:pPr>
            <w:r w:rsidRPr="000021FE">
              <w:t>ÚNMZ</w:t>
            </w:r>
          </w:p>
        </w:tc>
        <w:tc>
          <w:tcPr>
            <w:tcW w:w="5901" w:type="dxa"/>
          </w:tcPr>
          <w:p w14:paraId="0455E8D8" w14:textId="77777777" w:rsidR="00C701BE" w:rsidRPr="000021FE" w:rsidRDefault="00000000" w:rsidP="000021FE">
            <w:pPr>
              <w:spacing w:line="240" w:lineRule="auto"/>
            </w:pPr>
            <w:r w:rsidRPr="000021FE">
              <w:t>Právní a odborné informace o metrologii a posuzování shody</w:t>
            </w:r>
          </w:p>
        </w:tc>
      </w:tr>
      <w:tr w:rsidR="00C701BE" w:rsidRPr="000021FE" w14:paraId="7E931820" w14:textId="77777777" w:rsidTr="000021FE">
        <w:trPr>
          <w:cantSplit/>
        </w:trPr>
        <w:tc>
          <w:tcPr>
            <w:tcW w:w="3397" w:type="dxa"/>
          </w:tcPr>
          <w:p w14:paraId="16898DD2" w14:textId="77777777" w:rsidR="00C701BE" w:rsidRPr="000021FE" w:rsidRDefault="00000000" w:rsidP="00DA3257">
            <w:pPr>
              <w:spacing w:line="240" w:lineRule="auto"/>
              <w:jc w:val="both"/>
            </w:pPr>
            <w:r w:rsidRPr="000021FE">
              <w:t>ČMI</w:t>
            </w:r>
          </w:p>
        </w:tc>
        <w:tc>
          <w:tcPr>
            <w:tcW w:w="5901" w:type="dxa"/>
          </w:tcPr>
          <w:p w14:paraId="36127EB1" w14:textId="77777777" w:rsidR="00C701BE" w:rsidRPr="000021FE" w:rsidRDefault="00000000" w:rsidP="000021FE">
            <w:pPr>
              <w:spacing w:line="240" w:lineRule="auto"/>
            </w:pPr>
            <w:r w:rsidRPr="000021FE">
              <w:t>Metrologické služby a výklad základních metrologických pojmů</w:t>
            </w:r>
          </w:p>
        </w:tc>
      </w:tr>
      <w:tr w:rsidR="00C701BE" w:rsidRPr="000021FE" w14:paraId="7BC96454" w14:textId="77777777" w:rsidTr="000021FE">
        <w:trPr>
          <w:cantSplit/>
        </w:trPr>
        <w:tc>
          <w:tcPr>
            <w:tcW w:w="3397" w:type="dxa"/>
          </w:tcPr>
          <w:p w14:paraId="6C117CEE" w14:textId="77777777" w:rsidR="00C701BE" w:rsidRPr="000021FE" w:rsidRDefault="00000000" w:rsidP="00DA3257">
            <w:pPr>
              <w:spacing w:line="240" w:lineRule="auto"/>
              <w:jc w:val="both"/>
            </w:pPr>
            <w:r w:rsidRPr="000021FE">
              <w:t>ČIA</w:t>
            </w:r>
          </w:p>
        </w:tc>
        <w:tc>
          <w:tcPr>
            <w:tcW w:w="5901" w:type="dxa"/>
          </w:tcPr>
          <w:p w14:paraId="75F2B9A8" w14:textId="77777777" w:rsidR="00C701BE" w:rsidRPr="000021FE" w:rsidRDefault="00000000" w:rsidP="000021FE">
            <w:pPr>
              <w:spacing w:line="240" w:lineRule="auto"/>
            </w:pPr>
            <w:r w:rsidRPr="000021FE">
              <w:t>Vyhledání akreditovaných subjektů a jejich rozsahů</w:t>
            </w:r>
          </w:p>
        </w:tc>
      </w:tr>
      <w:tr w:rsidR="00C701BE" w:rsidRPr="000021FE" w14:paraId="27F1164A" w14:textId="77777777" w:rsidTr="000021FE">
        <w:trPr>
          <w:cantSplit/>
        </w:trPr>
        <w:tc>
          <w:tcPr>
            <w:tcW w:w="3397" w:type="dxa"/>
          </w:tcPr>
          <w:p w14:paraId="781AE5EB" w14:textId="77777777" w:rsidR="00C701BE" w:rsidRPr="000021FE" w:rsidRDefault="00000000" w:rsidP="00DA3257">
            <w:pPr>
              <w:spacing w:line="240" w:lineRule="auto"/>
              <w:jc w:val="both"/>
            </w:pPr>
            <w:r w:rsidRPr="000021FE">
              <w:t>Evropská komise a NANDO</w:t>
            </w:r>
          </w:p>
        </w:tc>
        <w:tc>
          <w:tcPr>
            <w:tcW w:w="5901" w:type="dxa"/>
          </w:tcPr>
          <w:p w14:paraId="3AF36EDE" w14:textId="77777777" w:rsidR="00C701BE" w:rsidRPr="000021FE" w:rsidRDefault="00000000" w:rsidP="000021FE">
            <w:pPr>
              <w:spacing w:line="240" w:lineRule="auto"/>
            </w:pPr>
            <w:r w:rsidRPr="000021FE">
              <w:t>Ověření oznámených subjektů a jejich působnosti</w:t>
            </w:r>
          </w:p>
        </w:tc>
      </w:tr>
      <w:tr w:rsidR="00C701BE" w:rsidRPr="000021FE" w14:paraId="0412CEE9" w14:textId="77777777" w:rsidTr="000021FE">
        <w:trPr>
          <w:cantSplit/>
        </w:trPr>
        <w:tc>
          <w:tcPr>
            <w:tcW w:w="3397" w:type="dxa"/>
          </w:tcPr>
          <w:p w14:paraId="66F0CDFA" w14:textId="77777777" w:rsidR="00C701BE" w:rsidRPr="000021FE" w:rsidRDefault="00000000" w:rsidP="00DA3257">
            <w:pPr>
              <w:spacing w:line="240" w:lineRule="auto"/>
              <w:jc w:val="both"/>
            </w:pPr>
            <w:r w:rsidRPr="000021FE">
              <w:t>EUR Lex</w:t>
            </w:r>
          </w:p>
        </w:tc>
        <w:tc>
          <w:tcPr>
            <w:tcW w:w="5901" w:type="dxa"/>
          </w:tcPr>
          <w:p w14:paraId="3F1AD965" w14:textId="77777777" w:rsidR="00C701BE" w:rsidRPr="000021FE" w:rsidRDefault="00000000" w:rsidP="000021FE">
            <w:pPr>
              <w:spacing w:line="240" w:lineRule="auto"/>
            </w:pPr>
            <w:r w:rsidRPr="000021FE">
              <w:t>Účinná znění předpisů EU a citace harmonizovaných norem</w:t>
            </w:r>
          </w:p>
        </w:tc>
      </w:tr>
      <w:tr w:rsidR="00C701BE" w:rsidRPr="000021FE" w14:paraId="3DE69C29" w14:textId="77777777" w:rsidTr="000021FE">
        <w:trPr>
          <w:cantSplit/>
        </w:trPr>
        <w:tc>
          <w:tcPr>
            <w:tcW w:w="3397" w:type="dxa"/>
          </w:tcPr>
          <w:p w14:paraId="6098849A" w14:textId="77777777" w:rsidR="00C701BE" w:rsidRPr="000021FE" w:rsidRDefault="00000000" w:rsidP="00DA3257">
            <w:pPr>
              <w:spacing w:line="240" w:lineRule="auto"/>
              <w:jc w:val="both"/>
            </w:pPr>
            <w:r w:rsidRPr="000021FE">
              <w:t>BIPM a JCGM</w:t>
            </w:r>
          </w:p>
        </w:tc>
        <w:tc>
          <w:tcPr>
            <w:tcW w:w="5901" w:type="dxa"/>
          </w:tcPr>
          <w:p w14:paraId="5623FE7B" w14:textId="77777777" w:rsidR="00C701BE" w:rsidRPr="000021FE" w:rsidRDefault="00000000" w:rsidP="000021FE">
            <w:pPr>
              <w:spacing w:line="240" w:lineRule="auto"/>
            </w:pPr>
            <w:r w:rsidRPr="000021FE">
              <w:t>Jednotky SI terminologie a nejistota měření</w:t>
            </w:r>
          </w:p>
        </w:tc>
      </w:tr>
      <w:tr w:rsidR="00C701BE" w:rsidRPr="000021FE" w14:paraId="43B9B91F" w14:textId="77777777" w:rsidTr="000021FE">
        <w:trPr>
          <w:cantSplit/>
        </w:trPr>
        <w:tc>
          <w:tcPr>
            <w:tcW w:w="3397" w:type="dxa"/>
          </w:tcPr>
          <w:p w14:paraId="5301A4D0" w14:textId="77777777" w:rsidR="00C701BE" w:rsidRPr="000021FE" w:rsidRDefault="00000000" w:rsidP="00DA3257">
            <w:pPr>
              <w:spacing w:line="240" w:lineRule="auto"/>
              <w:jc w:val="both"/>
            </w:pPr>
            <w:r w:rsidRPr="000021FE">
              <w:t>ČOI a příslušné dozorové orgány</w:t>
            </w:r>
          </w:p>
        </w:tc>
        <w:tc>
          <w:tcPr>
            <w:tcW w:w="5901" w:type="dxa"/>
          </w:tcPr>
          <w:p w14:paraId="011CAA31" w14:textId="77777777" w:rsidR="00C701BE" w:rsidRPr="000021FE" w:rsidRDefault="00000000" w:rsidP="000021FE">
            <w:pPr>
              <w:spacing w:line="240" w:lineRule="auto"/>
            </w:pPr>
            <w:r w:rsidRPr="000021FE">
              <w:t>Informace o dozoru a řešení nebezpečných výrobků</w:t>
            </w:r>
          </w:p>
        </w:tc>
      </w:tr>
    </w:tbl>
    <w:p w14:paraId="46FFB141" w14:textId="77777777" w:rsidR="00C701BE" w:rsidRPr="00B33274" w:rsidRDefault="00C701BE" w:rsidP="00DA3257">
      <w:pPr>
        <w:spacing w:line="240" w:lineRule="auto"/>
        <w:jc w:val="both"/>
      </w:pPr>
    </w:p>
    <w:p w14:paraId="5A3FEB7F" w14:textId="77777777" w:rsidR="00C701BE" w:rsidRPr="00B33274" w:rsidRDefault="00000000" w:rsidP="00DA3257">
      <w:pPr>
        <w:pStyle w:val="Nadpis1"/>
        <w:spacing w:before="0" w:line="240" w:lineRule="auto"/>
        <w:jc w:val="both"/>
      </w:pPr>
      <w:bookmarkStart w:id="242" w:name="_Toc243068439"/>
      <w:bookmarkStart w:id="243" w:name="_Toc243068764"/>
      <w:bookmarkStart w:id="244" w:name="_Toc243068796"/>
      <w:bookmarkStart w:id="245" w:name="_Toc243071063"/>
      <w:r w:rsidRPr="00B33274">
        <w:t>30 Použité podklady a doporučené zdroje</w:t>
      </w:r>
      <w:bookmarkEnd w:id="242"/>
      <w:bookmarkEnd w:id="243"/>
      <w:bookmarkEnd w:id="244"/>
      <w:bookmarkEnd w:id="245"/>
    </w:p>
    <w:p w14:paraId="613A3BA7" w14:textId="41A448B0" w:rsidR="00C701BE" w:rsidRPr="00DA3257" w:rsidRDefault="00000000" w:rsidP="00DA3257">
      <w:pPr>
        <w:spacing w:line="240" w:lineRule="auto"/>
      </w:pPr>
      <w:r w:rsidRPr="00DA3257">
        <w:t xml:space="preserve">[1] KREJČA, Miroslav. Technická normalizace; Technické normy; Metrologie; Státní zkušebnictví; Uvádění výrobků na trh v ČR a EU. Výukové materiály poskytnuté v souboru </w:t>
      </w:r>
      <w:proofErr w:type="spellStart"/>
      <w:r w:rsidRPr="00DA3257">
        <w:t>Technicka</w:t>
      </w:r>
      <w:proofErr w:type="spellEnd"/>
      <w:r w:rsidRPr="00DA3257">
        <w:t xml:space="preserve"> normalizace Krejca.zip. Jihočeská univerzita v Českých Budějovicích, Fakulta rybářství a ochrany vod. Materiály převážně z let 2014–2015.</w:t>
      </w:r>
    </w:p>
    <w:p w14:paraId="120F71AD" w14:textId="77777777" w:rsidR="00C701BE" w:rsidRPr="00DA3257" w:rsidRDefault="00000000" w:rsidP="00DA3257">
      <w:pPr>
        <w:spacing w:line="240" w:lineRule="auto"/>
      </w:pPr>
      <w:r w:rsidRPr="00DA3257">
        <w:lastRenderedPageBreak/>
        <w:t xml:space="preserve">[2] Česká agentura pro standardizaci. FAQ; katalog ČSN; Centra technické normalizace a zpracovatelé. </w:t>
      </w:r>
      <w:proofErr w:type="gramStart"/>
      <w:r w:rsidRPr="00DA3257">
        <w:t>https://agenturacas.gov.cz/standardizace/faq/ ;</w:t>
      </w:r>
      <w:proofErr w:type="gramEnd"/>
      <w:r w:rsidRPr="00DA3257">
        <w:t xml:space="preserve"> </w:t>
      </w:r>
      <w:proofErr w:type="gramStart"/>
      <w:r w:rsidRPr="00DA3257">
        <w:t>https://seznamcsn.agenturacas.gov.cz/ ;</w:t>
      </w:r>
      <w:proofErr w:type="gramEnd"/>
      <w:r w:rsidRPr="00DA3257">
        <w:t xml:space="preserve"> https://agenturacas.gov.cz/prostor-pro-experty/centra-technicke-normalizace-zpracovatele/</w:t>
      </w:r>
    </w:p>
    <w:p w14:paraId="7588C4EC" w14:textId="77777777" w:rsidR="00C701BE" w:rsidRPr="00DA3257" w:rsidRDefault="00000000" w:rsidP="00DA3257">
      <w:pPr>
        <w:spacing w:line="240" w:lineRule="auto"/>
      </w:pPr>
      <w:r w:rsidRPr="00DA3257">
        <w:t xml:space="preserve">[3] Český institut pro akreditaci. Akreditace laboratoří podle ČSN EN ISO/IEC 17025:2018; databáze akreditovaných subjektů; metodické pokyny a jejich změny. </w:t>
      </w:r>
      <w:proofErr w:type="gramStart"/>
      <w:r w:rsidRPr="00DA3257">
        <w:t>https://www.cai.cz/ ;</w:t>
      </w:r>
      <w:proofErr w:type="gramEnd"/>
      <w:r w:rsidRPr="00DA3257">
        <w:t xml:space="preserve"> </w:t>
      </w:r>
      <w:proofErr w:type="gramStart"/>
      <w:r w:rsidRPr="00DA3257">
        <w:t>https://www.cai.cz/?page_id=2010 ;</w:t>
      </w:r>
      <w:proofErr w:type="gramEnd"/>
      <w:r w:rsidRPr="00DA3257">
        <w:t xml:space="preserve"> změnový list z 1. 10. 2026: https://www.cai.cz/?p=24649</w:t>
      </w:r>
    </w:p>
    <w:p w14:paraId="1AF79217" w14:textId="77777777" w:rsidR="00C701BE" w:rsidRPr="00DA3257" w:rsidRDefault="00000000" w:rsidP="00DA3257">
      <w:pPr>
        <w:spacing w:line="240" w:lineRule="auto"/>
      </w:pPr>
      <w:r w:rsidRPr="00DA3257">
        <w:t xml:space="preserve">[4] ÚNMZ. Často kladené otázky ve zkušebnictví; Státní zkušebnictví. </w:t>
      </w:r>
      <w:proofErr w:type="gramStart"/>
      <w:r w:rsidRPr="00DA3257">
        <w:t>https://unmz.gov.cz/caste-dotazy/casto-kladene-otazky-zkusebnictvi/ ;</w:t>
      </w:r>
      <w:proofErr w:type="gramEnd"/>
      <w:r w:rsidRPr="00DA3257">
        <w:t xml:space="preserve"> https://unmz.gov.cz/statni-zkusebnictvi/</w:t>
      </w:r>
    </w:p>
    <w:p w14:paraId="26AC35AD" w14:textId="77777777" w:rsidR="00C701BE" w:rsidRPr="00DA3257" w:rsidRDefault="00000000" w:rsidP="00DA3257">
      <w:pPr>
        <w:spacing w:line="240" w:lineRule="auto"/>
      </w:pPr>
      <w:r w:rsidRPr="00DA3257">
        <w:t>[5] Evropská komise. Modrá příručka k provádění pravidel EU pro výrobky 2022. Sdělení 2022/C 247/01. https://eur-lex.europa.eu/legal-content/CS/TXT/?uri=CELEX:52022XC0629(04</w:t>
      </w:r>
      <w:proofErr w:type="gramStart"/>
      <w:r w:rsidRPr="00DA3257">
        <w:t>) .</w:t>
      </w:r>
      <w:proofErr w:type="gramEnd"/>
      <w:r w:rsidRPr="00DA3257">
        <w:t xml:space="preserve"> Výkladový zdroj; konkrétní povinnost se řídí příslušným předpisem. Databáze NANDO je dostupná přes portál Evropské komise https://webgate.ec.europa.eu/single-market-compliance-space/</w:t>
      </w:r>
    </w:p>
    <w:p w14:paraId="379405F7" w14:textId="77777777" w:rsidR="00C701BE" w:rsidRPr="00DA3257" w:rsidRDefault="00000000" w:rsidP="00DA3257">
      <w:pPr>
        <w:spacing w:line="240" w:lineRule="auto"/>
      </w:pPr>
      <w:r w:rsidRPr="00DA3257">
        <w:t xml:space="preserve">[6] BIPM. </w:t>
      </w:r>
      <w:proofErr w:type="spellStart"/>
      <w:r w:rsidRPr="00DA3257">
        <w:t>The</w:t>
      </w:r>
      <w:proofErr w:type="spellEnd"/>
      <w:r w:rsidRPr="00DA3257">
        <w:t xml:space="preserve"> International </w:t>
      </w:r>
      <w:proofErr w:type="spellStart"/>
      <w:r w:rsidRPr="00DA3257">
        <w:t>System</w:t>
      </w:r>
      <w:proofErr w:type="spellEnd"/>
      <w:r w:rsidRPr="00DA3257">
        <w:t xml:space="preserve"> </w:t>
      </w:r>
      <w:proofErr w:type="spellStart"/>
      <w:r w:rsidRPr="00DA3257">
        <w:t>of</w:t>
      </w:r>
      <w:proofErr w:type="spellEnd"/>
      <w:r w:rsidRPr="00DA3257">
        <w:t xml:space="preserve"> </w:t>
      </w:r>
      <w:proofErr w:type="spellStart"/>
      <w:r w:rsidRPr="00DA3257">
        <w:t>Units</w:t>
      </w:r>
      <w:proofErr w:type="spellEnd"/>
      <w:r w:rsidRPr="00DA3257">
        <w:t xml:space="preserve">; SI </w:t>
      </w:r>
      <w:proofErr w:type="spellStart"/>
      <w:r w:rsidRPr="00DA3257">
        <w:t>Brochure</w:t>
      </w:r>
      <w:proofErr w:type="spellEnd"/>
      <w:r w:rsidRPr="00DA3257">
        <w:t xml:space="preserve">, 9. vydání, průběžně aktualizované. </w:t>
      </w:r>
      <w:proofErr w:type="gramStart"/>
      <w:r w:rsidRPr="00DA3257">
        <w:t>https://www.bipm.org/en/measurement-units ;</w:t>
      </w:r>
      <w:proofErr w:type="gramEnd"/>
      <w:r w:rsidRPr="00DA3257">
        <w:t xml:space="preserve"> https://www.bipm.org/documents/20126/41483022/SI-Brochure-9-EN.pdf</w:t>
      </w:r>
    </w:p>
    <w:p w14:paraId="44B59F95" w14:textId="77777777" w:rsidR="00C701BE" w:rsidRPr="00DA3257" w:rsidRDefault="00000000" w:rsidP="00DA3257">
      <w:pPr>
        <w:spacing w:line="240" w:lineRule="auto"/>
      </w:pPr>
      <w:r w:rsidRPr="00DA3257">
        <w:t xml:space="preserve">[7] Český metrologický institut. Základní pojmy; často kladené dotazy. </w:t>
      </w:r>
      <w:proofErr w:type="gramStart"/>
      <w:r w:rsidRPr="00DA3257">
        <w:t>https://cmi.gov.cz/node/537 ;</w:t>
      </w:r>
      <w:proofErr w:type="gramEnd"/>
      <w:r w:rsidRPr="00DA3257">
        <w:t xml:space="preserve"> https://cmi.gov.cz/faq</w:t>
      </w:r>
    </w:p>
    <w:p w14:paraId="06B80294" w14:textId="77777777" w:rsidR="00C701BE" w:rsidRPr="00DA3257" w:rsidRDefault="00000000" w:rsidP="00DA3257">
      <w:pPr>
        <w:spacing w:line="240" w:lineRule="auto"/>
      </w:pPr>
      <w:r w:rsidRPr="00DA3257">
        <w:t xml:space="preserve">[8] ILAC. ILAC G8:09/2019 </w:t>
      </w:r>
      <w:proofErr w:type="spellStart"/>
      <w:r w:rsidRPr="00DA3257">
        <w:t>Guidelines</w:t>
      </w:r>
      <w:proofErr w:type="spellEnd"/>
      <w:r w:rsidRPr="00DA3257">
        <w:t xml:space="preserve"> on </w:t>
      </w:r>
      <w:proofErr w:type="spellStart"/>
      <w:r w:rsidRPr="00DA3257">
        <w:t>Decision</w:t>
      </w:r>
      <w:proofErr w:type="spellEnd"/>
      <w:r w:rsidRPr="00DA3257">
        <w:t xml:space="preserve"> </w:t>
      </w:r>
      <w:proofErr w:type="spellStart"/>
      <w:r w:rsidRPr="00DA3257">
        <w:t>Rules</w:t>
      </w:r>
      <w:proofErr w:type="spellEnd"/>
      <w:r w:rsidRPr="00DA3257">
        <w:t xml:space="preserve"> and </w:t>
      </w:r>
      <w:proofErr w:type="spellStart"/>
      <w:r w:rsidRPr="00DA3257">
        <w:t>Statements</w:t>
      </w:r>
      <w:proofErr w:type="spellEnd"/>
      <w:r w:rsidRPr="00DA3257">
        <w:t xml:space="preserve"> </w:t>
      </w:r>
      <w:proofErr w:type="spellStart"/>
      <w:r w:rsidRPr="00DA3257">
        <w:t>of</w:t>
      </w:r>
      <w:proofErr w:type="spellEnd"/>
      <w:r w:rsidRPr="00DA3257">
        <w:t xml:space="preserve"> </w:t>
      </w:r>
      <w:proofErr w:type="spellStart"/>
      <w:r w:rsidRPr="00DA3257">
        <w:t>Conformity</w:t>
      </w:r>
      <w:proofErr w:type="spellEnd"/>
      <w:r w:rsidRPr="00DA3257">
        <w:t>. https://ilac.org/publications-and-resources/ilac-guidance-series/</w:t>
      </w:r>
    </w:p>
    <w:p w14:paraId="5C47AD5F" w14:textId="77777777" w:rsidR="00C701BE" w:rsidRPr="00DA3257" w:rsidRDefault="00000000" w:rsidP="00DA3257">
      <w:pPr>
        <w:spacing w:line="240" w:lineRule="auto"/>
      </w:pPr>
      <w:r w:rsidRPr="00DA3257">
        <w:t xml:space="preserve">[9] ÚNMZ. Právní předpisy. Zejména zákon č. 22/1997 Sb., o technických požadavcích na výrobky; zákon č. 90/2016 Sb., o posuzování shody stanovených výrobků při jejich dodávání na trh; zákon č. 505/1990 Sb., o metrologii. Vždy v aktuálním znění spolu s prováděcími předpisy. </w:t>
      </w:r>
      <w:proofErr w:type="gramStart"/>
      <w:r w:rsidRPr="00DA3257">
        <w:t>https://unmz.gov.cz/obecne/pravni-predpisy/ .</w:t>
      </w:r>
      <w:proofErr w:type="gramEnd"/>
      <w:r w:rsidRPr="00DA3257">
        <w:t xml:space="preserve"> Závazná znění českých předpisů: https://www.e-sbirka.cz/</w:t>
      </w:r>
    </w:p>
    <w:p w14:paraId="44D30BE6" w14:textId="77777777" w:rsidR="00C701BE" w:rsidRPr="00DA3257" w:rsidRDefault="00000000" w:rsidP="00DA3257">
      <w:pPr>
        <w:spacing w:line="240" w:lineRule="auto"/>
      </w:pPr>
      <w:r w:rsidRPr="00DA3257">
        <w:t xml:space="preserve">[10] ÚNMZ. Informační portál pro stavební výrobky a informace o přechodu na nové nařízení. </w:t>
      </w:r>
      <w:proofErr w:type="gramStart"/>
      <w:r w:rsidRPr="00DA3257">
        <w:t>https://unmz.gov.cz/statni-zkusebnictvi/ ;</w:t>
      </w:r>
      <w:proofErr w:type="gramEnd"/>
      <w:r w:rsidRPr="00DA3257">
        <w:t xml:space="preserve"> </w:t>
      </w:r>
      <w:proofErr w:type="gramStart"/>
      <w:r w:rsidRPr="00DA3257">
        <w:t>https://unmz.gov.cz/nove-narizeni-o-uvadeni-stavebnich-vyrobku-na-trh-eu-bylo-zverejneno-v-urednim-vestniku-eu-dne-18-12-2024-2/ .</w:t>
      </w:r>
      <w:proofErr w:type="gramEnd"/>
      <w:r w:rsidRPr="00DA3257">
        <w:t xml:space="preserve"> Právní texty: nařízení (EU) č. 305/2011 a (EU) 2024/3110 v aktuálním znění na https://eur-lex.europa.eu/</w:t>
      </w:r>
    </w:p>
    <w:p w14:paraId="6F7C5017" w14:textId="77777777" w:rsidR="00C701BE" w:rsidRPr="00DA3257" w:rsidRDefault="00000000" w:rsidP="00DA3257">
      <w:pPr>
        <w:spacing w:line="240" w:lineRule="auto"/>
      </w:pPr>
      <w:r w:rsidRPr="00DA3257">
        <w:t xml:space="preserve">[11] MPO. Nařízení o obecné bezpečnosti výrobků a navazující otázky a odpovědi. </w:t>
      </w:r>
      <w:proofErr w:type="gramStart"/>
      <w:r w:rsidRPr="00DA3257">
        <w:t>https://mpo.gov.cz/cz/ochrana-spotrebitele/bezpecnost-vyrobku/narizeni-o-obecne-bezpecnosti-vyrobku/narizeni-o-obecne-bezpecnosti-vyrobku--274787/ ;</w:t>
      </w:r>
      <w:proofErr w:type="gramEnd"/>
      <w:r w:rsidRPr="00DA3257">
        <w:t xml:space="preserve"> </w:t>
      </w:r>
      <w:proofErr w:type="gramStart"/>
      <w:r w:rsidRPr="00DA3257">
        <w:t>https://mpo.gov.cz/cz/ochrana-spotrebitele/bezpecnost-vyrobku/podrobnejsi-informace-k-narizeni-o-obecne-bezpecnosti-vyrobku/nejcastejsi-otazky-a-odpovedi-k-obecne-bezpecnosti-vyrobku--289156/ .</w:t>
      </w:r>
      <w:proofErr w:type="gramEnd"/>
      <w:r w:rsidRPr="00DA3257">
        <w:t xml:space="preserve"> Nařízení (EU) 2023/988 v aktuálním znění na EUR Lex.</w:t>
      </w:r>
    </w:p>
    <w:p w14:paraId="0F1984E2" w14:textId="77777777" w:rsidR="00C701BE" w:rsidRPr="00DA3257" w:rsidRDefault="00000000" w:rsidP="00DA3257">
      <w:pPr>
        <w:spacing w:line="240" w:lineRule="auto"/>
      </w:pPr>
      <w:r w:rsidRPr="00DA3257">
        <w:t xml:space="preserve">[12] JCGM. </w:t>
      </w:r>
      <w:proofErr w:type="spellStart"/>
      <w:r w:rsidRPr="00DA3257">
        <w:t>Evaluation</w:t>
      </w:r>
      <w:proofErr w:type="spellEnd"/>
      <w:r w:rsidRPr="00DA3257">
        <w:t xml:space="preserve"> </w:t>
      </w:r>
      <w:proofErr w:type="spellStart"/>
      <w:r w:rsidRPr="00DA3257">
        <w:t>of</w:t>
      </w:r>
      <w:proofErr w:type="spellEnd"/>
      <w:r w:rsidRPr="00DA3257">
        <w:t xml:space="preserve"> </w:t>
      </w:r>
      <w:proofErr w:type="spellStart"/>
      <w:r w:rsidRPr="00DA3257">
        <w:t>measurement</w:t>
      </w:r>
      <w:proofErr w:type="spellEnd"/>
      <w:r w:rsidRPr="00DA3257">
        <w:t xml:space="preserve"> data — </w:t>
      </w:r>
      <w:proofErr w:type="spellStart"/>
      <w:r w:rsidRPr="00DA3257">
        <w:t>Guide</w:t>
      </w:r>
      <w:proofErr w:type="spellEnd"/>
      <w:r w:rsidRPr="00DA3257">
        <w:t xml:space="preserve"> to </w:t>
      </w:r>
      <w:proofErr w:type="spellStart"/>
      <w:r w:rsidRPr="00DA3257">
        <w:t>the</w:t>
      </w:r>
      <w:proofErr w:type="spellEnd"/>
      <w:r w:rsidRPr="00DA3257">
        <w:t xml:space="preserve"> </w:t>
      </w:r>
      <w:proofErr w:type="spellStart"/>
      <w:r w:rsidRPr="00DA3257">
        <w:t>expression</w:t>
      </w:r>
      <w:proofErr w:type="spellEnd"/>
      <w:r w:rsidRPr="00DA3257">
        <w:t xml:space="preserve"> </w:t>
      </w:r>
      <w:proofErr w:type="spellStart"/>
      <w:r w:rsidRPr="00DA3257">
        <w:t>of</w:t>
      </w:r>
      <w:proofErr w:type="spellEnd"/>
      <w:r w:rsidRPr="00DA3257">
        <w:t xml:space="preserve"> </w:t>
      </w:r>
      <w:proofErr w:type="spellStart"/>
      <w:r w:rsidRPr="00DA3257">
        <w:t>uncertainty</w:t>
      </w:r>
      <w:proofErr w:type="spellEnd"/>
      <w:r w:rsidRPr="00DA3257">
        <w:t xml:space="preserve"> in </w:t>
      </w:r>
      <w:proofErr w:type="spellStart"/>
      <w:r w:rsidRPr="00DA3257">
        <w:t>measurement</w:t>
      </w:r>
      <w:proofErr w:type="spellEnd"/>
      <w:r w:rsidRPr="00DA3257">
        <w:t xml:space="preserve">, JCGM 100:2008 včetně dostupných změn; International </w:t>
      </w:r>
      <w:proofErr w:type="spellStart"/>
      <w:r w:rsidRPr="00DA3257">
        <w:t>vocabulary</w:t>
      </w:r>
      <w:proofErr w:type="spellEnd"/>
      <w:r w:rsidRPr="00DA3257">
        <w:t xml:space="preserve"> </w:t>
      </w:r>
      <w:proofErr w:type="spellStart"/>
      <w:r w:rsidRPr="00DA3257">
        <w:t>of</w:t>
      </w:r>
      <w:proofErr w:type="spellEnd"/>
      <w:r w:rsidRPr="00DA3257">
        <w:t xml:space="preserve"> metrology, JCGM 200:2012. Oficiální publikace BIPM: https://www.bipm.org/en/committees/jc/jcgm/publications</w:t>
      </w:r>
    </w:p>
    <w:p w14:paraId="610B95C3" w14:textId="77777777" w:rsidR="00C701BE" w:rsidRPr="00DA3257" w:rsidRDefault="00000000" w:rsidP="00DA3257">
      <w:pPr>
        <w:spacing w:line="240" w:lineRule="auto"/>
      </w:pPr>
      <w:r w:rsidRPr="00DA3257">
        <w:t xml:space="preserve">[13] NIST/SEMATECH. e Handbook </w:t>
      </w:r>
      <w:proofErr w:type="spellStart"/>
      <w:r w:rsidRPr="00DA3257">
        <w:t>of</w:t>
      </w:r>
      <w:proofErr w:type="spellEnd"/>
      <w:r w:rsidRPr="00DA3257">
        <w:t xml:space="preserve"> </w:t>
      </w:r>
      <w:proofErr w:type="spellStart"/>
      <w:r w:rsidRPr="00DA3257">
        <w:t>Statistical</w:t>
      </w:r>
      <w:proofErr w:type="spellEnd"/>
      <w:r w:rsidRPr="00DA3257">
        <w:t xml:space="preserve"> </w:t>
      </w:r>
      <w:proofErr w:type="spellStart"/>
      <w:r w:rsidRPr="00DA3257">
        <w:t>Methods</w:t>
      </w:r>
      <w:proofErr w:type="spellEnd"/>
      <w:r w:rsidRPr="00DA3257">
        <w:t xml:space="preserve">. </w:t>
      </w:r>
      <w:proofErr w:type="spellStart"/>
      <w:r w:rsidRPr="00DA3257">
        <w:t>Exploratory</w:t>
      </w:r>
      <w:proofErr w:type="spellEnd"/>
      <w:r w:rsidRPr="00DA3257">
        <w:t xml:space="preserve"> Data </w:t>
      </w:r>
      <w:proofErr w:type="spellStart"/>
      <w:r w:rsidRPr="00DA3257">
        <w:t>Analysis</w:t>
      </w:r>
      <w:proofErr w:type="spellEnd"/>
      <w:r w:rsidRPr="00DA3257">
        <w:t xml:space="preserve">. </w:t>
      </w:r>
      <w:proofErr w:type="gramStart"/>
      <w:r w:rsidRPr="00DA3257">
        <w:t>https://www.itl.nist.gov/div898/handbook/eda/eda.htm .</w:t>
      </w:r>
      <w:proofErr w:type="gramEnd"/>
      <w:r w:rsidRPr="00DA3257">
        <w:t xml:space="preserve"> Základní statistické charakteristiky, grafické prohlížení dat a předpoklady modelů.</w:t>
      </w:r>
    </w:p>
    <w:p w14:paraId="147D3482" w14:textId="77777777" w:rsidR="00C701BE" w:rsidRPr="00DA3257" w:rsidRDefault="00000000" w:rsidP="00DA3257">
      <w:pPr>
        <w:spacing w:line="240" w:lineRule="auto"/>
      </w:pPr>
      <w:r w:rsidRPr="00DA3257">
        <w:t xml:space="preserve">[14] NIST/SEMATECH. </w:t>
      </w:r>
      <w:proofErr w:type="spellStart"/>
      <w:r w:rsidRPr="00DA3257">
        <w:t>Process</w:t>
      </w:r>
      <w:proofErr w:type="spellEnd"/>
      <w:r w:rsidRPr="00DA3257">
        <w:t xml:space="preserve"> </w:t>
      </w:r>
      <w:proofErr w:type="spellStart"/>
      <w:r w:rsidRPr="00DA3257">
        <w:t>or</w:t>
      </w:r>
      <w:proofErr w:type="spellEnd"/>
      <w:r w:rsidRPr="00DA3257">
        <w:t xml:space="preserve"> </w:t>
      </w:r>
      <w:proofErr w:type="spellStart"/>
      <w:r w:rsidRPr="00DA3257">
        <w:t>Product</w:t>
      </w:r>
      <w:proofErr w:type="spellEnd"/>
      <w:r w:rsidRPr="00DA3257">
        <w:t xml:space="preserve"> Monitoring and </w:t>
      </w:r>
      <w:proofErr w:type="spellStart"/>
      <w:r w:rsidRPr="00DA3257">
        <w:t>Control</w:t>
      </w:r>
      <w:proofErr w:type="spellEnd"/>
      <w:r w:rsidRPr="00DA3257">
        <w:t xml:space="preserve">. </w:t>
      </w:r>
      <w:proofErr w:type="gramStart"/>
      <w:r w:rsidRPr="00DA3257">
        <w:t>https://www.itl.nist.gov/div898/handbook/pmc/pmc.htm ;</w:t>
      </w:r>
      <w:proofErr w:type="gramEnd"/>
      <w:r w:rsidRPr="00DA3257">
        <w:t xml:space="preserve"> </w:t>
      </w:r>
      <w:proofErr w:type="spellStart"/>
      <w:r w:rsidRPr="00DA3257">
        <w:t>Assessing</w:t>
      </w:r>
      <w:proofErr w:type="spellEnd"/>
      <w:r w:rsidRPr="00DA3257">
        <w:t xml:space="preserve"> </w:t>
      </w:r>
      <w:proofErr w:type="spellStart"/>
      <w:r w:rsidRPr="00DA3257">
        <w:t>Process</w:t>
      </w:r>
      <w:proofErr w:type="spellEnd"/>
      <w:r w:rsidRPr="00DA3257">
        <w:t xml:space="preserve"> </w:t>
      </w:r>
      <w:proofErr w:type="spellStart"/>
      <w:r w:rsidRPr="00DA3257">
        <w:t>Capability</w:t>
      </w:r>
      <w:proofErr w:type="spellEnd"/>
      <w:r w:rsidRPr="00DA3257">
        <w:t xml:space="preserve">: </w:t>
      </w:r>
      <w:proofErr w:type="gramStart"/>
      <w:r w:rsidRPr="00DA3257">
        <w:t>https://www.itl.nist.gov/div898/handbook/ppc/section4/ppc46.htm ;</w:t>
      </w:r>
      <w:proofErr w:type="gramEnd"/>
      <w:r w:rsidRPr="00DA3257">
        <w:t xml:space="preserve"> </w:t>
      </w:r>
      <w:proofErr w:type="spellStart"/>
      <w:r w:rsidRPr="00DA3257">
        <w:t>What</w:t>
      </w:r>
      <w:proofErr w:type="spellEnd"/>
      <w:r w:rsidRPr="00DA3257">
        <w:t xml:space="preserve"> </w:t>
      </w:r>
      <w:proofErr w:type="spellStart"/>
      <w:r w:rsidRPr="00DA3257">
        <w:t>is</w:t>
      </w:r>
      <w:proofErr w:type="spellEnd"/>
      <w:r w:rsidRPr="00DA3257">
        <w:t xml:space="preserve"> </w:t>
      </w:r>
      <w:proofErr w:type="spellStart"/>
      <w:r w:rsidRPr="00DA3257">
        <w:t>Process</w:t>
      </w:r>
      <w:proofErr w:type="spellEnd"/>
      <w:r w:rsidRPr="00DA3257">
        <w:t xml:space="preserve"> </w:t>
      </w:r>
      <w:proofErr w:type="spellStart"/>
      <w:r w:rsidRPr="00DA3257">
        <w:t>Capability</w:t>
      </w:r>
      <w:proofErr w:type="spellEnd"/>
      <w:r w:rsidRPr="00DA3257">
        <w:t>: https://www.itl.nist.gov/div898/handbook/pmc/section1/pmc16.htm</w:t>
      </w:r>
    </w:p>
    <w:p w14:paraId="22540A76" w14:textId="77777777" w:rsidR="00C701BE" w:rsidRPr="00DA3257" w:rsidRDefault="00000000" w:rsidP="00DA3257">
      <w:pPr>
        <w:spacing w:line="240" w:lineRule="auto"/>
      </w:pPr>
      <w:r w:rsidRPr="00DA3257">
        <w:t xml:space="preserve">[15] NIST/SEMATECH. Test </w:t>
      </w:r>
      <w:proofErr w:type="spellStart"/>
      <w:r w:rsidRPr="00DA3257">
        <w:t>Product</w:t>
      </w:r>
      <w:proofErr w:type="spellEnd"/>
      <w:r w:rsidRPr="00DA3257">
        <w:t xml:space="preserve"> </w:t>
      </w:r>
      <w:proofErr w:type="spellStart"/>
      <w:r w:rsidRPr="00DA3257">
        <w:t>for</w:t>
      </w:r>
      <w:proofErr w:type="spellEnd"/>
      <w:r w:rsidRPr="00DA3257">
        <w:t xml:space="preserve"> </w:t>
      </w:r>
      <w:proofErr w:type="spellStart"/>
      <w:r w:rsidRPr="00DA3257">
        <w:t>Acceptability</w:t>
      </w:r>
      <w:proofErr w:type="spellEnd"/>
      <w:r w:rsidRPr="00DA3257">
        <w:t xml:space="preserve"> and Lot </w:t>
      </w:r>
      <w:proofErr w:type="spellStart"/>
      <w:r w:rsidRPr="00DA3257">
        <w:t>Acceptance</w:t>
      </w:r>
      <w:proofErr w:type="spellEnd"/>
      <w:r w:rsidRPr="00DA3257">
        <w:t xml:space="preserve"> </w:t>
      </w:r>
      <w:proofErr w:type="spellStart"/>
      <w:r w:rsidRPr="00DA3257">
        <w:t>Sampling</w:t>
      </w:r>
      <w:proofErr w:type="spellEnd"/>
      <w:r w:rsidRPr="00DA3257">
        <w:t xml:space="preserve">. </w:t>
      </w:r>
      <w:proofErr w:type="gramStart"/>
      <w:r w:rsidRPr="00DA3257">
        <w:t>https://www.itl.nist.gov/div898/handbook/pmc/section2/pmc2.htm .</w:t>
      </w:r>
      <w:proofErr w:type="gramEnd"/>
      <w:r w:rsidRPr="00DA3257">
        <w:t xml:space="preserve"> Přejímací plány a rizika rozhodnutí.</w:t>
      </w:r>
    </w:p>
    <w:p w14:paraId="0D22234B" w14:textId="77777777" w:rsidR="00C701BE" w:rsidRPr="00DA3257" w:rsidRDefault="00000000" w:rsidP="00DA3257">
      <w:pPr>
        <w:spacing w:line="240" w:lineRule="auto"/>
      </w:pPr>
      <w:r w:rsidRPr="00DA3257">
        <w:t xml:space="preserve">[16] </w:t>
      </w:r>
      <w:proofErr w:type="spellStart"/>
      <w:r w:rsidRPr="00DA3257">
        <w:t>Eurachem</w:t>
      </w:r>
      <w:proofErr w:type="spellEnd"/>
      <w:r w:rsidRPr="00DA3257">
        <w:t xml:space="preserve">. </w:t>
      </w:r>
      <w:proofErr w:type="spellStart"/>
      <w:r w:rsidRPr="00DA3257">
        <w:t>The</w:t>
      </w:r>
      <w:proofErr w:type="spellEnd"/>
      <w:r w:rsidRPr="00DA3257">
        <w:t xml:space="preserve"> Fitness </w:t>
      </w:r>
      <w:proofErr w:type="spellStart"/>
      <w:r w:rsidRPr="00DA3257">
        <w:t>for</w:t>
      </w:r>
      <w:proofErr w:type="spellEnd"/>
      <w:r w:rsidRPr="00DA3257">
        <w:t xml:space="preserve"> </w:t>
      </w:r>
      <w:proofErr w:type="spellStart"/>
      <w:r w:rsidRPr="00DA3257">
        <w:t>Purpose</w:t>
      </w:r>
      <w:proofErr w:type="spellEnd"/>
      <w:r w:rsidRPr="00DA3257">
        <w:t xml:space="preserve"> </w:t>
      </w:r>
      <w:proofErr w:type="spellStart"/>
      <w:r w:rsidRPr="00DA3257">
        <w:t>of</w:t>
      </w:r>
      <w:proofErr w:type="spellEnd"/>
      <w:r w:rsidRPr="00DA3257">
        <w:t xml:space="preserve"> </w:t>
      </w:r>
      <w:proofErr w:type="spellStart"/>
      <w:r w:rsidRPr="00DA3257">
        <w:t>Analytical</w:t>
      </w:r>
      <w:proofErr w:type="spellEnd"/>
      <w:r w:rsidRPr="00DA3257">
        <w:t xml:space="preserve"> </w:t>
      </w:r>
      <w:proofErr w:type="spellStart"/>
      <w:r w:rsidRPr="00DA3257">
        <w:t>Methods</w:t>
      </w:r>
      <w:proofErr w:type="spellEnd"/>
      <w:r w:rsidRPr="00DA3257">
        <w:t>. A </w:t>
      </w:r>
      <w:proofErr w:type="spellStart"/>
      <w:r w:rsidRPr="00DA3257">
        <w:t>Laboratory</w:t>
      </w:r>
      <w:proofErr w:type="spellEnd"/>
      <w:r w:rsidRPr="00DA3257">
        <w:t xml:space="preserve"> </w:t>
      </w:r>
      <w:proofErr w:type="spellStart"/>
      <w:r w:rsidRPr="00DA3257">
        <w:t>Guide</w:t>
      </w:r>
      <w:proofErr w:type="spellEnd"/>
      <w:r w:rsidRPr="00DA3257">
        <w:t xml:space="preserve"> to </w:t>
      </w:r>
      <w:proofErr w:type="spellStart"/>
      <w:r w:rsidRPr="00DA3257">
        <w:t>Method</w:t>
      </w:r>
      <w:proofErr w:type="spellEnd"/>
      <w:r w:rsidRPr="00DA3257">
        <w:t xml:space="preserve"> </w:t>
      </w:r>
      <w:proofErr w:type="spellStart"/>
      <w:r w:rsidRPr="00DA3257">
        <w:t>Validation</w:t>
      </w:r>
      <w:proofErr w:type="spellEnd"/>
      <w:r w:rsidRPr="00DA3257">
        <w:t xml:space="preserve"> and </w:t>
      </w:r>
      <w:proofErr w:type="spellStart"/>
      <w:r w:rsidRPr="00DA3257">
        <w:t>Related</w:t>
      </w:r>
      <w:proofErr w:type="spellEnd"/>
      <w:r w:rsidRPr="00DA3257">
        <w:t xml:space="preserve"> </w:t>
      </w:r>
      <w:proofErr w:type="spellStart"/>
      <w:r w:rsidRPr="00DA3257">
        <w:t>Topics</w:t>
      </w:r>
      <w:proofErr w:type="spellEnd"/>
      <w:r w:rsidRPr="00DA3257">
        <w:t>. 3. vydání, 2025. https://eurachem.org/index.php/publications/guides/mv</w:t>
      </w:r>
    </w:p>
    <w:p w14:paraId="71B0A03A" w14:textId="77777777" w:rsidR="00C701BE" w:rsidRPr="00DA3257" w:rsidRDefault="00000000" w:rsidP="00DA3257">
      <w:pPr>
        <w:spacing w:line="240" w:lineRule="auto"/>
      </w:pPr>
      <w:r w:rsidRPr="00DA3257">
        <w:t xml:space="preserve">[17] </w:t>
      </w:r>
      <w:proofErr w:type="spellStart"/>
      <w:r w:rsidRPr="00DA3257">
        <w:t>Eurachem</w:t>
      </w:r>
      <w:proofErr w:type="spellEnd"/>
      <w:r w:rsidRPr="00DA3257">
        <w:t xml:space="preserve">. </w:t>
      </w:r>
      <w:proofErr w:type="spellStart"/>
      <w:r w:rsidRPr="00DA3257">
        <w:t>Planning</w:t>
      </w:r>
      <w:proofErr w:type="spellEnd"/>
      <w:r w:rsidRPr="00DA3257">
        <w:t xml:space="preserve"> and Reporting </w:t>
      </w:r>
      <w:proofErr w:type="spellStart"/>
      <w:r w:rsidRPr="00DA3257">
        <w:t>Method</w:t>
      </w:r>
      <w:proofErr w:type="spellEnd"/>
      <w:r w:rsidRPr="00DA3257">
        <w:t xml:space="preserve"> </w:t>
      </w:r>
      <w:proofErr w:type="spellStart"/>
      <w:r w:rsidRPr="00DA3257">
        <w:t>Validation</w:t>
      </w:r>
      <w:proofErr w:type="spellEnd"/>
      <w:r w:rsidRPr="00DA3257">
        <w:t xml:space="preserve"> </w:t>
      </w:r>
      <w:proofErr w:type="spellStart"/>
      <w:r w:rsidRPr="00DA3257">
        <w:t>Studies</w:t>
      </w:r>
      <w:proofErr w:type="spellEnd"/>
      <w:r w:rsidRPr="00DA3257">
        <w:t>. Doplněk průvodce validací metod, 2. vydání, 2025. https://www.eurachem.org/index.php/news/newsletters/60-publications/guides/297-mv-planning</w:t>
      </w:r>
    </w:p>
    <w:p w14:paraId="1FFFC2D0" w14:textId="77777777" w:rsidR="00C701BE" w:rsidRPr="00DA3257" w:rsidRDefault="00000000" w:rsidP="00DA3257">
      <w:pPr>
        <w:spacing w:line="240" w:lineRule="auto"/>
      </w:pPr>
      <w:r w:rsidRPr="00DA3257">
        <w:lastRenderedPageBreak/>
        <w:t xml:space="preserve">[18] </w:t>
      </w:r>
      <w:proofErr w:type="spellStart"/>
      <w:r w:rsidRPr="00DA3257">
        <w:t>Eurachem</w:t>
      </w:r>
      <w:proofErr w:type="spellEnd"/>
      <w:r w:rsidRPr="00DA3257">
        <w:t xml:space="preserve">. </w:t>
      </w:r>
      <w:proofErr w:type="spellStart"/>
      <w:r w:rsidRPr="00DA3257">
        <w:t>Selection</w:t>
      </w:r>
      <w:proofErr w:type="spellEnd"/>
      <w:r w:rsidRPr="00DA3257">
        <w:t xml:space="preserve">, Use and </w:t>
      </w:r>
      <w:proofErr w:type="spellStart"/>
      <w:r w:rsidRPr="00DA3257">
        <w:t>Interpretation</w:t>
      </w:r>
      <w:proofErr w:type="spellEnd"/>
      <w:r w:rsidRPr="00DA3257">
        <w:t xml:space="preserve"> </w:t>
      </w:r>
      <w:proofErr w:type="spellStart"/>
      <w:r w:rsidRPr="00DA3257">
        <w:t>of</w:t>
      </w:r>
      <w:proofErr w:type="spellEnd"/>
      <w:r w:rsidRPr="00DA3257">
        <w:t xml:space="preserve"> </w:t>
      </w:r>
      <w:proofErr w:type="spellStart"/>
      <w:r w:rsidRPr="00DA3257">
        <w:t>Proficiency</w:t>
      </w:r>
      <w:proofErr w:type="spellEnd"/>
      <w:r w:rsidRPr="00DA3257">
        <w:t xml:space="preserve"> Testing </w:t>
      </w:r>
      <w:proofErr w:type="spellStart"/>
      <w:r w:rsidRPr="00DA3257">
        <w:t>Schemes</w:t>
      </w:r>
      <w:proofErr w:type="spellEnd"/>
      <w:r w:rsidRPr="00DA3257">
        <w:t xml:space="preserve"> by </w:t>
      </w:r>
      <w:proofErr w:type="spellStart"/>
      <w:r w:rsidRPr="00DA3257">
        <w:t>Laboratories</w:t>
      </w:r>
      <w:proofErr w:type="spellEnd"/>
      <w:r w:rsidRPr="00DA3257">
        <w:t>. 3. vydání, 2021. Přehled průvodců a přístup k dokumentu: https://www.eurachem.org/index.php/publications/guides</w:t>
      </w:r>
    </w:p>
    <w:p w14:paraId="31E17536" w14:textId="77777777" w:rsidR="00C701BE" w:rsidRPr="00DA3257" w:rsidRDefault="00000000" w:rsidP="00DA3257">
      <w:pPr>
        <w:spacing w:line="240" w:lineRule="auto"/>
      </w:pPr>
      <w:r w:rsidRPr="00DA3257">
        <w:t xml:space="preserve">[19] NIST/SEMATECH. </w:t>
      </w:r>
      <w:proofErr w:type="spellStart"/>
      <w:r w:rsidRPr="00DA3257">
        <w:t>Assessing</w:t>
      </w:r>
      <w:proofErr w:type="spellEnd"/>
      <w:r w:rsidRPr="00DA3257">
        <w:t xml:space="preserve"> </w:t>
      </w:r>
      <w:proofErr w:type="spellStart"/>
      <w:r w:rsidRPr="00DA3257">
        <w:t>Product</w:t>
      </w:r>
      <w:proofErr w:type="spellEnd"/>
      <w:r w:rsidRPr="00DA3257">
        <w:t xml:space="preserve"> Reliability. </w:t>
      </w:r>
      <w:proofErr w:type="gramStart"/>
      <w:r w:rsidRPr="00DA3257">
        <w:t>https://www.itl.nist.gov/div898/handbook/apr/apr.htm .</w:t>
      </w:r>
      <w:proofErr w:type="gramEnd"/>
      <w:r w:rsidRPr="00DA3257">
        <w:t xml:space="preserve"> Zrychlené zkoušky, mechanismy poruch a hodnocení životnosti.</w:t>
      </w:r>
    </w:p>
    <w:p w14:paraId="315A75AE" w14:textId="77777777" w:rsidR="00C701BE" w:rsidRDefault="00000000" w:rsidP="00DA3257">
      <w:pPr>
        <w:spacing w:line="240" w:lineRule="auto"/>
        <w:jc w:val="both"/>
      </w:pPr>
      <w:r w:rsidRPr="00B33274">
        <w:t>Zdroje na webu byly použity k ověření základních souvislostí k 16. 10. 2026. Při řešení konkrétní zakázky je nutné ověřit aktuální vydání norem, účinné předpisy a rozsah oprávnění zapojených subjektů. Příručka nevydává úplné texty technických norem; při práci se používají jejich oprávněně zpřístupněná znění.</w:t>
      </w:r>
    </w:p>
    <w:p w14:paraId="1438AD99" w14:textId="30EF762C" w:rsidR="00FD79DE" w:rsidRPr="00FD79DE" w:rsidRDefault="00FD79DE" w:rsidP="00FD79DE">
      <w:pPr>
        <w:pStyle w:val="Nadpis1"/>
        <w:rPr>
          <w:lang w:bidi="cs-CZ"/>
        </w:rPr>
      </w:pPr>
      <w:bookmarkStart w:id="246" w:name="_Toc243071064"/>
      <w:r w:rsidRPr="00FD79DE">
        <w:rPr>
          <w:lang w:bidi="cs-CZ"/>
        </w:rPr>
        <w:t>Jak Příručka vznikla</w:t>
      </w:r>
      <w:bookmarkEnd w:id="246"/>
    </w:p>
    <w:p w14:paraId="788EED49" w14:textId="79643456" w:rsidR="00FD79DE" w:rsidRDefault="00FD79DE" w:rsidP="00FD79DE">
      <w:pPr>
        <w:spacing w:line="240" w:lineRule="auto"/>
        <w:jc w:val="both"/>
        <w:rPr>
          <w:lang w:bidi="cs-CZ"/>
        </w:rPr>
      </w:pPr>
      <w:r w:rsidRPr="00FD79DE">
        <w:rPr>
          <w:lang w:bidi="cs-CZ"/>
        </w:rPr>
        <w:t>Příručka vznikla jako výsledek soustavné spolupráce lidské inteligence (HI) a umělé inteligence (AI). Nejde o text vytvořený automaticky bez odborného vedení ani o běžnou autorskou práci, při níž by umělá inteligence sloužila pouze jako technický nástroj. Příručka byla sestavována v opakovaném pracovním cyklu, v němž člověk určoval odborný záměr, hodnotil obsah a přijímal konečná rozhodnutí, zatímco AI pomáhala rozsáhlý materiál analyzovat, uspořádat, sjednocovat a redakčně zpracovat.</w:t>
      </w:r>
    </w:p>
    <w:p w14:paraId="5CF5FBBC" w14:textId="0BCC71E1" w:rsidR="00FD79DE" w:rsidRDefault="00FD79DE" w:rsidP="00FD79DE">
      <w:pPr>
        <w:pStyle w:val="Nadpis1"/>
        <w:rPr>
          <w:lang w:bidi="cs-CZ"/>
        </w:rPr>
      </w:pPr>
      <w:bookmarkStart w:id="247" w:name="_Toc243071065"/>
      <w:r>
        <w:rPr>
          <w:lang w:bidi="cs-CZ"/>
        </w:rPr>
        <w:t>Publikační práva</w:t>
      </w:r>
      <w:bookmarkEnd w:id="247"/>
    </w:p>
    <w:p w14:paraId="04229845" w14:textId="77777777" w:rsidR="00FD79DE" w:rsidRPr="00B33274" w:rsidRDefault="00FD79DE" w:rsidP="00FD79DE">
      <w:pPr>
        <w:spacing w:line="240" w:lineRule="auto"/>
        <w:jc w:val="both"/>
      </w:pPr>
      <w:r w:rsidRPr="00FD79DE">
        <w:t xml:space="preserve">© </w:t>
      </w:r>
      <w:r>
        <w:t>Technická normalizace a zkušebnictví. Příručka pro vodohospodářské techniky.</w:t>
      </w:r>
      <w:r w:rsidRPr="00FD79DE">
        <w:t xml:space="preserve"> </w:t>
      </w:r>
      <w:r>
        <w:t>R</w:t>
      </w:r>
      <w:r w:rsidRPr="00FD79DE">
        <w:t>ok vydání 2026</w:t>
      </w:r>
      <w:r>
        <w:t>.</w:t>
      </w:r>
      <w:r w:rsidRPr="00FD79DE">
        <w:t xml:space="preserve"> Dílo je uvolněno pod licencí CC0 1.0 Universal (Public </w:t>
      </w:r>
      <w:proofErr w:type="spellStart"/>
      <w:r w:rsidRPr="00FD79DE">
        <w:t>Domain</w:t>
      </w:r>
      <w:proofErr w:type="spellEnd"/>
      <w:r w:rsidRPr="00FD79DE">
        <w:t>). Kniha může být volně šířena, upravována a komerčně využívána bez omezení. https://creativecommons.org/publicdomain/zero/1.0/deed.cs</w:t>
      </w:r>
    </w:p>
    <w:sectPr w:rsidR="00FD79DE" w:rsidRPr="00B33274" w:rsidSect="00034616">
      <w:footerReference w:type="default" r:id="rId8"/>
      <w:pgSz w:w="11906" w:h="16838"/>
      <w:pgMar w:top="1134" w:right="1304" w:bottom="1134" w:left="130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696EAC" w14:textId="77777777" w:rsidR="002C5CB6" w:rsidRDefault="002C5CB6">
      <w:pPr>
        <w:spacing w:after="0" w:line="240" w:lineRule="auto"/>
      </w:pPr>
      <w:r>
        <w:separator/>
      </w:r>
    </w:p>
  </w:endnote>
  <w:endnote w:type="continuationSeparator" w:id="0">
    <w:p w14:paraId="5615CB64" w14:textId="77777777" w:rsidR="002C5CB6" w:rsidRDefault="002C5CB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Liberation Serif">
    <w:panose1 w:val="02020603050405020304"/>
    <w:charset w:val="EE"/>
    <w:family w:val="roman"/>
    <w:pitch w:val="variable"/>
    <w:sig w:usb0="E0000AFF" w:usb1="500078FF" w:usb2="00000021" w:usb3="00000000" w:csb0="000001BF" w:csb1="00000000"/>
  </w:font>
  <w:font w:name="Calibri">
    <w:panose1 w:val="020F0502020204030204"/>
    <w:charset w:val="EE"/>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1A1676" w14:textId="77777777" w:rsidR="00C701BE" w:rsidRDefault="00000000">
    <w:pPr>
      <w:pStyle w:val="Zpat"/>
      <w:jc w:val="center"/>
    </w:pPr>
    <w:r>
      <w:fldChar w:fldCharType="begin"/>
    </w:r>
    <w:r>
      <w:instrText>PAGE</w:instrText>
    </w:r>
    <w:r>
      <w:fldChar w:fldCharType="separate"/>
    </w:r>
    <w:r w:rsidR="00ED3CCD">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BE6DFF" w14:textId="77777777" w:rsidR="002C5CB6" w:rsidRDefault="002C5CB6">
      <w:pPr>
        <w:spacing w:after="0" w:line="240" w:lineRule="auto"/>
      </w:pPr>
      <w:r>
        <w:separator/>
      </w:r>
    </w:p>
  </w:footnote>
  <w:footnote w:type="continuationSeparator" w:id="0">
    <w:p w14:paraId="1AB09394" w14:textId="77777777" w:rsidR="002C5CB6" w:rsidRDefault="002C5CB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slovanseznam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slovanseznam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Seznamsodrkami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Seznamsodrkami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slovanseznam"/>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Seznamsodrkami"/>
      <w:lvlText w:val=""/>
      <w:lvlJc w:val="left"/>
      <w:pPr>
        <w:tabs>
          <w:tab w:val="num" w:pos="360"/>
        </w:tabs>
        <w:ind w:left="360" w:hanging="360"/>
      </w:pPr>
      <w:rPr>
        <w:rFonts w:ascii="Symbol" w:hAnsi="Symbol" w:hint="default"/>
      </w:rPr>
    </w:lvl>
  </w:abstractNum>
  <w:num w:numId="1" w16cid:durableId="1817214018">
    <w:abstractNumId w:val="8"/>
  </w:num>
  <w:num w:numId="2" w16cid:durableId="730156246">
    <w:abstractNumId w:val="6"/>
  </w:num>
  <w:num w:numId="3" w16cid:durableId="247232323">
    <w:abstractNumId w:val="5"/>
  </w:num>
  <w:num w:numId="4" w16cid:durableId="1704944630">
    <w:abstractNumId w:val="4"/>
  </w:num>
  <w:num w:numId="5" w16cid:durableId="1018774132">
    <w:abstractNumId w:val="7"/>
  </w:num>
  <w:num w:numId="6" w16cid:durableId="748506739">
    <w:abstractNumId w:val="3"/>
  </w:num>
  <w:num w:numId="7" w16cid:durableId="147671382">
    <w:abstractNumId w:val="2"/>
  </w:num>
  <w:num w:numId="8" w16cid:durableId="261497193">
    <w:abstractNumId w:val="1"/>
  </w:num>
  <w:num w:numId="9" w16cid:durableId="73682747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autoHyphenation/>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021FE"/>
    <w:rsid w:val="00034616"/>
    <w:rsid w:val="0006063C"/>
    <w:rsid w:val="001439C4"/>
    <w:rsid w:val="0015074B"/>
    <w:rsid w:val="0029639D"/>
    <w:rsid w:val="002C5CB6"/>
    <w:rsid w:val="00326F90"/>
    <w:rsid w:val="00341C49"/>
    <w:rsid w:val="006A25F7"/>
    <w:rsid w:val="00743A4B"/>
    <w:rsid w:val="00954001"/>
    <w:rsid w:val="00A61C56"/>
    <w:rsid w:val="00AA1D8D"/>
    <w:rsid w:val="00B33274"/>
    <w:rsid w:val="00B47730"/>
    <w:rsid w:val="00C63BC7"/>
    <w:rsid w:val="00C701BE"/>
    <w:rsid w:val="00CB0664"/>
    <w:rsid w:val="00D0588D"/>
    <w:rsid w:val="00DA3257"/>
    <w:rsid w:val="00E07452"/>
    <w:rsid w:val="00ED3CCD"/>
    <w:rsid w:val="00FC693F"/>
    <w:rsid w:val="00FD79DE"/>
    <w:rsid w:val="00FE00D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A154EE7"/>
  <w14:defaultImageDpi w14:val="300"/>
  <w15:docId w15:val="{FC4CD963-C6CC-45E0-8946-AAD4F6D66C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FC693F"/>
    <w:pPr>
      <w:spacing w:after="120" w:line="269" w:lineRule="auto"/>
    </w:pPr>
    <w:rPr>
      <w:rFonts w:ascii="Liberation Serif" w:hAnsi="Liberation Serif"/>
      <w:color w:val="000000"/>
      <w:lang w:val="cs-CZ"/>
    </w:rPr>
  </w:style>
  <w:style w:type="paragraph" w:styleId="Nadpis1">
    <w:name w:val="heading 1"/>
    <w:basedOn w:val="Normln"/>
    <w:next w:val="Normln"/>
    <w:link w:val="Nadpis1Char"/>
    <w:uiPriority w:val="9"/>
    <w:qFormat/>
    <w:rsid w:val="00FC693F"/>
    <w:pPr>
      <w:keepNext/>
      <w:keepLines/>
      <w:suppressAutoHyphens/>
      <w:spacing w:before="300"/>
      <w:outlineLvl w:val="0"/>
    </w:pPr>
    <w:rPr>
      <w:rFonts w:asciiTheme="majorHAnsi" w:eastAsiaTheme="majorEastAsia" w:hAnsiTheme="majorHAnsi" w:cstheme="majorBidi"/>
      <w:b/>
      <w:bCs/>
      <w:sz w:val="32"/>
      <w:szCs w:val="28"/>
    </w:rPr>
  </w:style>
  <w:style w:type="paragraph" w:styleId="Nadpis2">
    <w:name w:val="heading 2"/>
    <w:basedOn w:val="Normln"/>
    <w:next w:val="Normln"/>
    <w:link w:val="Nadpis2Char"/>
    <w:uiPriority w:val="9"/>
    <w:unhideWhenUsed/>
    <w:qFormat/>
    <w:rsid w:val="00FC693F"/>
    <w:pPr>
      <w:keepNext/>
      <w:keepLines/>
      <w:suppressAutoHyphens/>
      <w:spacing w:before="180"/>
      <w:outlineLvl w:val="1"/>
    </w:pPr>
    <w:rPr>
      <w:rFonts w:asciiTheme="majorHAnsi" w:eastAsiaTheme="majorEastAsia" w:hAnsiTheme="majorHAnsi" w:cstheme="majorBidi"/>
      <w:b/>
      <w:bCs/>
      <w:sz w:val="24"/>
      <w:szCs w:val="26"/>
    </w:rPr>
  </w:style>
  <w:style w:type="paragraph" w:styleId="Nadpis3">
    <w:name w:val="heading 3"/>
    <w:basedOn w:val="Normln"/>
    <w:next w:val="Normln"/>
    <w:link w:val="Nadpis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Nadpis4">
    <w:name w:val="heading 4"/>
    <w:basedOn w:val="Normln"/>
    <w:next w:val="Normln"/>
    <w:link w:val="Nadpis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Nadpis5">
    <w:name w:val="heading 5"/>
    <w:basedOn w:val="Normln"/>
    <w:next w:val="Normln"/>
    <w:link w:val="Nadpis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Nadpis6">
    <w:name w:val="heading 6"/>
    <w:basedOn w:val="Normln"/>
    <w:next w:val="Normln"/>
    <w:link w:val="Nadpis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Nadpis7">
    <w:name w:val="heading 7"/>
    <w:basedOn w:val="Normln"/>
    <w:next w:val="Normln"/>
    <w:link w:val="Nadpis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Nadpis8">
    <w:name w:val="heading 8"/>
    <w:basedOn w:val="Normln"/>
    <w:next w:val="Normln"/>
    <w:link w:val="Nadpis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Nadpis9">
    <w:name w:val="heading 9"/>
    <w:basedOn w:val="Normln"/>
    <w:next w:val="Normln"/>
    <w:link w:val="Nadpis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Standardnpsmoodstavce">
    <w:name w:val="Default Paragraph Font"/>
    <w:uiPriority w:val="1"/>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hlav">
    <w:name w:val="header"/>
    <w:basedOn w:val="Normln"/>
    <w:link w:val="ZhlavChar"/>
    <w:uiPriority w:val="99"/>
    <w:unhideWhenUsed/>
    <w:rsid w:val="00E618BF"/>
    <w:pPr>
      <w:tabs>
        <w:tab w:val="center" w:pos="4680"/>
        <w:tab w:val="right" w:pos="9360"/>
      </w:tabs>
      <w:spacing w:after="0" w:line="240" w:lineRule="auto"/>
    </w:pPr>
  </w:style>
  <w:style w:type="character" w:customStyle="1" w:styleId="ZhlavChar">
    <w:name w:val="Záhlaví Char"/>
    <w:basedOn w:val="Standardnpsmoodstavce"/>
    <w:link w:val="Zhlav"/>
    <w:uiPriority w:val="99"/>
    <w:rsid w:val="00E618BF"/>
  </w:style>
  <w:style w:type="paragraph" w:styleId="Zpat">
    <w:name w:val="footer"/>
    <w:basedOn w:val="Normln"/>
    <w:link w:val="ZpatChar"/>
    <w:uiPriority w:val="99"/>
    <w:unhideWhenUsed/>
    <w:rsid w:val="00E618BF"/>
    <w:pPr>
      <w:tabs>
        <w:tab w:val="center" w:pos="4680"/>
        <w:tab w:val="right" w:pos="9360"/>
      </w:tabs>
      <w:spacing w:after="0" w:line="240" w:lineRule="auto"/>
    </w:pPr>
  </w:style>
  <w:style w:type="character" w:customStyle="1" w:styleId="ZpatChar">
    <w:name w:val="Zápatí Char"/>
    <w:basedOn w:val="Standardnpsmoodstavce"/>
    <w:link w:val="Zpat"/>
    <w:uiPriority w:val="99"/>
    <w:rsid w:val="00E618BF"/>
  </w:style>
  <w:style w:type="paragraph" w:styleId="Bezmezer">
    <w:name w:val="No Spacing"/>
    <w:uiPriority w:val="1"/>
    <w:qFormat/>
    <w:rsid w:val="00FC693F"/>
    <w:pPr>
      <w:spacing w:after="0" w:line="240" w:lineRule="auto"/>
    </w:pPr>
  </w:style>
  <w:style w:type="character" w:customStyle="1" w:styleId="Nadpis1Char">
    <w:name w:val="Nadpis 1 Char"/>
    <w:basedOn w:val="Standardnpsmoodstavce"/>
    <w:link w:val="Nadpis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Nadpis2Char">
    <w:name w:val="Nadpis 2 Char"/>
    <w:basedOn w:val="Standardnpsmoodstavce"/>
    <w:link w:val="Nadpis2"/>
    <w:uiPriority w:val="9"/>
    <w:rsid w:val="00FC693F"/>
    <w:rPr>
      <w:rFonts w:asciiTheme="majorHAnsi" w:eastAsiaTheme="majorEastAsia" w:hAnsiTheme="majorHAnsi" w:cstheme="majorBidi"/>
      <w:b/>
      <w:bCs/>
      <w:color w:val="4F81BD" w:themeColor="accent1"/>
      <w:sz w:val="26"/>
      <w:szCs w:val="26"/>
    </w:rPr>
  </w:style>
  <w:style w:type="character" w:customStyle="1" w:styleId="Nadpis3Char">
    <w:name w:val="Nadpis 3 Char"/>
    <w:basedOn w:val="Standardnpsmoodstavce"/>
    <w:link w:val="Nadpis3"/>
    <w:uiPriority w:val="9"/>
    <w:rsid w:val="00FC693F"/>
    <w:rPr>
      <w:rFonts w:asciiTheme="majorHAnsi" w:eastAsiaTheme="majorEastAsia" w:hAnsiTheme="majorHAnsi" w:cstheme="majorBidi"/>
      <w:b/>
      <w:bCs/>
      <w:color w:val="4F81BD" w:themeColor="accent1"/>
    </w:rPr>
  </w:style>
  <w:style w:type="paragraph" w:styleId="Nzev">
    <w:name w:val="Title"/>
    <w:basedOn w:val="Normln"/>
    <w:next w:val="Normln"/>
    <w:link w:val="NzevChar"/>
    <w:uiPriority w:val="10"/>
    <w:qFormat/>
    <w:rsid w:val="00FC693F"/>
    <w:pPr>
      <w:suppressAutoHyphens/>
      <w:contextualSpacing/>
    </w:pPr>
    <w:rPr>
      <w:rFonts w:asciiTheme="majorHAnsi" w:eastAsiaTheme="majorEastAsia" w:hAnsiTheme="majorHAnsi" w:cstheme="majorBidi"/>
      <w:spacing w:val="5"/>
      <w:kern w:val="28"/>
      <w:sz w:val="54"/>
      <w:szCs w:val="52"/>
    </w:rPr>
  </w:style>
  <w:style w:type="character" w:customStyle="1" w:styleId="NzevChar">
    <w:name w:val="Název Char"/>
    <w:basedOn w:val="Standardnpsmoodstavce"/>
    <w:link w:val="Nzev"/>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Podnadpis">
    <w:name w:val="Subtitle"/>
    <w:basedOn w:val="Normln"/>
    <w:next w:val="Normln"/>
    <w:link w:val="PodnadpisChar"/>
    <w:uiPriority w:val="11"/>
    <w:qFormat/>
    <w:rsid w:val="00FC693F"/>
    <w:pPr>
      <w:numPr>
        <w:ilvl w:val="1"/>
      </w:numPr>
    </w:pPr>
    <w:rPr>
      <w:rFonts w:asciiTheme="majorHAnsi" w:eastAsiaTheme="majorEastAsia" w:hAnsiTheme="majorHAnsi" w:cstheme="majorBidi"/>
      <w:i/>
      <w:iCs/>
      <w:spacing w:val="15"/>
      <w:szCs w:val="24"/>
    </w:rPr>
  </w:style>
  <w:style w:type="character" w:customStyle="1" w:styleId="PodnadpisChar">
    <w:name w:val="Podnadpis Char"/>
    <w:basedOn w:val="Standardnpsmoodstavce"/>
    <w:link w:val="Podnadpis"/>
    <w:uiPriority w:val="11"/>
    <w:rsid w:val="00FC693F"/>
    <w:rPr>
      <w:rFonts w:asciiTheme="majorHAnsi" w:eastAsiaTheme="majorEastAsia" w:hAnsiTheme="majorHAnsi" w:cstheme="majorBidi"/>
      <w:i/>
      <w:iCs/>
      <w:color w:val="4F81BD" w:themeColor="accent1"/>
      <w:spacing w:val="15"/>
      <w:sz w:val="24"/>
      <w:szCs w:val="24"/>
    </w:rPr>
  </w:style>
  <w:style w:type="paragraph" w:styleId="Odstavecseseznamem">
    <w:name w:val="List Paragraph"/>
    <w:basedOn w:val="Normln"/>
    <w:uiPriority w:val="34"/>
    <w:qFormat/>
    <w:rsid w:val="00FC693F"/>
    <w:pPr>
      <w:ind w:left="720"/>
      <w:contextualSpacing/>
    </w:pPr>
  </w:style>
  <w:style w:type="paragraph" w:styleId="Zkladntext">
    <w:name w:val="Body Text"/>
    <w:basedOn w:val="Normln"/>
    <w:link w:val="ZkladntextChar"/>
    <w:uiPriority w:val="99"/>
    <w:unhideWhenUsed/>
    <w:rsid w:val="00AA1D8D"/>
  </w:style>
  <w:style w:type="character" w:customStyle="1" w:styleId="ZkladntextChar">
    <w:name w:val="Základní text Char"/>
    <w:basedOn w:val="Standardnpsmoodstavce"/>
    <w:link w:val="Zkladntext"/>
    <w:uiPriority w:val="99"/>
    <w:rsid w:val="00AA1D8D"/>
  </w:style>
  <w:style w:type="paragraph" w:styleId="Zkladntext2">
    <w:name w:val="Body Text 2"/>
    <w:basedOn w:val="Normln"/>
    <w:link w:val="Zkladntext2Char"/>
    <w:uiPriority w:val="99"/>
    <w:unhideWhenUsed/>
    <w:rsid w:val="00AA1D8D"/>
    <w:pPr>
      <w:spacing w:line="480" w:lineRule="auto"/>
    </w:pPr>
  </w:style>
  <w:style w:type="character" w:customStyle="1" w:styleId="Zkladntext2Char">
    <w:name w:val="Základní text 2 Char"/>
    <w:basedOn w:val="Standardnpsmoodstavce"/>
    <w:link w:val="Zkladntext2"/>
    <w:uiPriority w:val="99"/>
    <w:rsid w:val="00AA1D8D"/>
  </w:style>
  <w:style w:type="paragraph" w:styleId="Zkladntext3">
    <w:name w:val="Body Text 3"/>
    <w:basedOn w:val="Normln"/>
    <w:link w:val="Zkladntext3Char"/>
    <w:uiPriority w:val="99"/>
    <w:unhideWhenUsed/>
    <w:rsid w:val="00AA1D8D"/>
    <w:rPr>
      <w:sz w:val="16"/>
      <w:szCs w:val="16"/>
    </w:rPr>
  </w:style>
  <w:style w:type="character" w:customStyle="1" w:styleId="Zkladntext3Char">
    <w:name w:val="Základní text 3 Char"/>
    <w:basedOn w:val="Standardnpsmoodstavce"/>
    <w:link w:val="Zkladntext3"/>
    <w:uiPriority w:val="99"/>
    <w:rsid w:val="00AA1D8D"/>
    <w:rPr>
      <w:sz w:val="16"/>
      <w:szCs w:val="16"/>
    </w:rPr>
  </w:style>
  <w:style w:type="paragraph" w:styleId="Seznam">
    <w:name w:val="List"/>
    <w:basedOn w:val="Normln"/>
    <w:uiPriority w:val="99"/>
    <w:unhideWhenUsed/>
    <w:rsid w:val="00AA1D8D"/>
    <w:pPr>
      <w:ind w:left="360" w:hanging="360"/>
      <w:contextualSpacing/>
    </w:pPr>
  </w:style>
  <w:style w:type="paragraph" w:styleId="Seznam2">
    <w:name w:val="List 2"/>
    <w:basedOn w:val="Normln"/>
    <w:uiPriority w:val="99"/>
    <w:unhideWhenUsed/>
    <w:rsid w:val="00326F90"/>
    <w:pPr>
      <w:ind w:left="720" w:hanging="360"/>
      <w:contextualSpacing/>
    </w:pPr>
  </w:style>
  <w:style w:type="paragraph" w:styleId="Seznam3">
    <w:name w:val="List 3"/>
    <w:basedOn w:val="Normln"/>
    <w:uiPriority w:val="99"/>
    <w:unhideWhenUsed/>
    <w:rsid w:val="00326F90"/>
    <w:pPr>
      <w:ind w:left="1080" w:hanging="360"/>
      <w:contextualSpacing/>
    </w:pPr>
  </w:style>
  <w:style w:type="paragraph" w:styleId="Seznamsodrkami">
    <w:name w:val="List Bullet"/>
    <w:basedOn w:val="Normln"/>
    <w:uiPriority w:val="99"/>
    <w:unhideWhenUsed/>
    <w:rsid w:val="00326F90"/>
    <w:pPr>
      <w:numPr>
        <w:numId w:val="1"/>
      </w:numPr>
      <w:contextualSpacing/>
    </w:pPr>
  </w:style>
  <w:style w:type="paragraph" w:styleId="Seznamsodrkami2">
    <w:name w:val="List Bullet 2"/>
    <w:basedOn w:val="Normln"/>
    <w:uiPriority w:val="99"/>
    <w:unhideWhenUsed/>
    <w:rsid w:val="00326F90"/>
    <w:pPr>
      <w:numPr>
        <w:numId w:val="2"/>
      </w:numPr>
      <w:contextualSpacing/>
    </w:pPr>
  </w:style>
  <w:style w:type="paragraph" w:styleId="Seznamsodrkami3">
    <w:name w:val="List Bullet 3"/>
    <w:basedOn w:val="Normln"/>
    <w:uiPriority w:val="99"/>
    <w:unhideWhenUsed/>
    <w:rsid w:val="00326F90"/>
    <w:pPr>
      <w:numPr>
        <w:numId w:val="3"/>
      </w:numPr>
      <w:contextualSpacing/>
    </w:pPr>
  </w:style>
  <w:style w:type="paragraph" w:styleId="slovanseznam">
    <w:name w:val="List Number"/>
    <w:basedOn w:val="Normln"/>
    <w:uiPriority w:val="99"/>
    <w:unhideWhenUsed/>
    <w:rsid w:val="00326F90"/>
    <w:pPr>
      <w:numPr>
        <w:numId w:val="5"/>
      </w:numPr>
      <w:contextualSpacing/>
    </w:pPr>
  </w:style>
  <w:style w:type="paragraph" w:styleId="slovanseznam2">
    <w:name w:val="List Number 2"/>
    <w:basedOn w:val="Normln"/>
    <w:uiPriority w:val="99"/>
    <w:unhideWhenUsed/>
    <w:rsid w:val="0029639D"/>
    <w:pPr>
      <w:numPr>
        <w:numId w:val="6"/>
      </w:numPr>
      <w:contextualSpacing/>
    </w:pPr>
  </w:style>
  <w:style w:type="paragraph" w:styleId="slovanseznam3">
    <w:name w:val="List Number 3"/>
    <w:basedOn w:val="Normln"/>
    <w:uiPriority w:val="99"/>
    <w:unhideWhenUsed/>
    <w:rsid w:val="0029639D"/>
    <w:pPr>
      <w:numPr>
        <w:numId w:val="7"/>
      </w:numPr>
      <w:contextualSpacing/>
    </w:pPr>
  </w:style>
  <w:style w:type="paragraph" w:styleId="Pokraovnseznamu">
    <w:name w:val="List Continue"/>
    <w:basedOn w:val="Normln"/>
    <w:uiPriority w:val="99"/>
    <w:unhideWhenUsed/>
    <w:rsid w:val="0029639D"/>
    <w:pPr>
      <w:ind w:left="360"/>
      <w:contextualSpacing/>
    </w:pPr>
  </w:style>
  <w:style w:type="paragraph" w:styleId="Pokraovnseznamu2">
    <w:name w:val="List Continue 2"/>
    <w:basedOn w:val="Normln"/>
    <w:uiPriority w:val="99"/>
    <w:unhideWhenUsed/>
    <w:rsid w:val="0029639D"/>
    <w:pPr>
      <w:ind w:left="720"/>
      <w:contextualSpacing/>
    </w:pPr>
  </w:style>
  <w:style w:type="paragraph" w:styleId="Pokraovnseznamu3">
    <w:name w:val="List Continue 3"/>
    <w:basedOn w:val="Normln"/>
    <w:uiPriority w:val="99"/>
    <w:unhideWhenUsed/>
    <w:rsid w:val="0029639D"/>
    <w:pPr>
      <w:ind w:left="1080"/>
      <w:contextualSpacing/>
    </w:pPr>
  </w:style>
  <w:style w:type="paragraph" w:styleId="Textmakra">
    <w:name w:val="macro"/>
    <w:link w:val="Textmakra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xtmakraChar">
    <w:name w:val="Text makra Char"/>
    <w:basedOn w:val="Standardnpsmoodstavce"/>
    <w:link w:val="Textmakra"/>
    <w:uiPriority w:val="99"/>
    <w:rsid w:val="0029639D"/>
    <w:rPr>
      <w:rFonts w:ascii="Courier" w:hAnsi="Courier"/>
      <w:sz w:val="20"/>
      <w:szCs w:val="20"/>
    </w:rPr>
  </w:style>
  <w:style w:type="paragraph" w:styleId="Citt">
    <w:name w:val="Quote"/>
    <w:basedOn w:val="Normln"/>
    <w:next w:val="Normln"/>
    <w:link w:val="CittChar"/>
    <w:uiPriority w:val="29"/>
    <w:qFormat/>
    <w:rsid w:val="00FC693F"/>
    <w:rPr>
      <w:i/>
      <w:iCs/>
      <w:color w:val="000000" w:themeColor="text1"/>
    </w:rPr>
  </w:style>
  <w:style w:type="character" w:customStyle="1" w:styleId="CittChar">
    <w:name w:val="Citát Char"/>
    <w:basedOn w:val="Standardnpsmoodstavce"/>
    <w:link w:val="Citt"/>
    <w:uiPriority w:val="29"/>
    <w:rsid w:val="00FC693F"/>
    <w:rPr>
      <w:i/>
      <w:iCs/>
      <w:color w:val="000000" w:themeColor="text1"/>
    </w:rPr>
  </w:style>
  <w:style w:type="character" w:customStyle="1" w:styleId="Nadpis4Char">
    <w:name w:val="Nadpis 4 Char"/>
    <w:basedOn w:val="Standardnpsmoodstavce"/>
    <w:link w:val="Nadpis4"/>
    <w:uiPriority w:val="9"/>
    <w:semiHidden/>
    <w:rsid w:val="00FC693F"/>
    <w:rPr>
      <w:rFonts w:asciiTheme="majorHAnsi" w:eastAsiaTheme="majorEastAsia" w:hAnsiTheme="majorHAnsi" w:cstheme="majorBidi"/>
      <w:b/>
      <w:bCs/>
      <w:i/>
      <w:iCs/>
      <w:color w:val="4F81BD" w:themeColor="accent1"/>
    </w:rPr>
  </w:style>
  <w:style w:type="character" w:customStyle="1" w:styleId="Nadpis5Char">
    <w:name w:val="Nadpis 5 Char"/>
    <w:basedOn w:val="Standardnpsmoodstavce"/>
    <w:link w:val="Nadpis5"/>
    <w:uiPriority w:val="9"/>
    <w:semiHidden/>
    <w:rsid w:val="00FC693F"/>
    <w:rPr>
      <w:rFonts w:asciiTheme="majorHAnsi" w:eastAsiaTheme="majorEastAsia" w:hAnsiTheme="majorHAnsi" w:cstheme="majorBidi"/>
      <w:color w:val="243F60" w:themeColor="accent1" w:themeShade="7F"/>
    </w:rPr>
  </w:style>
  <w:style w:type="character" w:customStyle="1" w:styleId="Nadpis6Char">
    <w:name w:val="Nadpis 6 Char"/>
    <w:basedOn w:val="Standardnpsmoodstavce"/>
    <w:link w:val="Nadpis6"/>
    <w:uiPriority w:val="9"/>
    <w:semiHidden/>
    <w:rsid w:val="00FC693F"/>
    <w:rPr>
      <w:rFonts w:asciiTheme="majorHAnsi" w:eastAsiaTheme="majorEastAsia" w:hAnsiTheme="majorHAnsi" w:cstheme="majorBidi"/>
      <w:i/>
      <w:iCs/>
      <w:color w:val="243F60" w:themeColor="accent1" w:themeShade="7F"/>
    </w:rPr>
  </w:style>
  <w:style w:type="character" w:customStyle="1" w:styleId="Nadpis7Char">
    <w:name w:val="Nadpis 7 Char"/>
    <w:basedOn w:val="Standardnpsmoodstavce"/>
    <w:link w:val="Nadpis7"/>
    <w:uiPriority w:val="9"/>
    <w:semiHidden/>
    <w:rsid w:val="00FC693F"/>
    <w:rPr>
      <w:rFonts w:asciiTheme="majorHAnsi" w:eastAsiaTheme="majorEastAsia" w:hAnsiTheme="majorHAnsi" w:cstheme="majorBidi"/>
      <w:i/>
      <w:iCs/>
      <w:color w:val="404040" w:themeColor="text1" w:themeTint="BF"/>
    </w:rPr>
  </w:style>
  <w:style w:type="character" w:customStyle="1" w:styleId="Nadpis8Char">
    <w:name w:val="Nadpis 8 Char"/>
    <w:basedOn w:val="Standardnpsmoodstavce"/>
    <w:link w:val="Nadpis8"/>
    <w:uiPriority w:val="9"/>
    <w:semiHidden/>
    <w:rsid w:val="00FC693F"/>
    <w:rPr>
      <w:rFonts w:asciiTheme="majorHAnsi" w:eastAsiaTheme="majorEastAsia" w:hAnsiTheme="majorHAnsi" w:cstheme="majorBidi"/>
      <w:color w:val="4F81BD" w:themeColor="accent1"/>
      <w:sz w:val="20"/>
      <w:szCs w:val="20"/>
    </w:rPr>
  </w:style>
  <w:style w:type="character" w:customStyle="1" w:styleId="Nadpis9Char">
    <w:name w:val="Nadpis 9 Char"/>
    <w:basedOn w:val="Standardnpsmoodstavce"/>
    <w:link w:val="Nadpis9"/>
    <w:uiPriority w:val="9"/>
    <w:semiHidden/>
    <w:rsid w:val="00FC693F"/>
    <w:rPr>
      <w:rFonts w:asciiTheme="majorHAnsi" w:eastAsiaTheme="majorEastAsia" w:hAnsiTheme="majorHAnsi" w:cstheme="majorBidi"/>
      <w:i/>
      <w:iCs/>
      <w:color w:val="404040" w:themeColor="text1" w:themeTint="BF"/>
      <w:sz w:val="20"/>
      <w:szCs w:val="20"/>
    </w:rPr>
  </w:style>
  <w:style w:type="paragraph" w:styleId="Titulek">
    <w:name w:val="caption"/>
    <w:basedOn w:val="Normln"/>
    <w:next w:val="Normln"/>
    <w:uiPriority w:val="35"/>
    <w:semiHidden/>
    <w:unhideWhenUsed/>
    <w:qFormat/>
    <w:rsid w:val="00FC693F"/>
    <w:pPr>
      <w:spacing w:line="240" w:lineRule="auto"/>
    </w:pPr>
    <w:rPr>
      <w:b/>
      <w:bCs/>
      <w:color w:val="4F81BD" w:themeColor="accent1"/>
      <w:sz w:val="18"/>
      <w:szCs w:val="18"/>
    </w:rPr>
  </w:style>
  <w:style w:type="character" w:styleId="Siln">
    <w:name w:val="Strong"/>
    <w:basedOn w:val="Standardnpsmoodstavce"/>
    <w:uiPriority w:val="22"/>
    <w:qFormat/>
    <w:rsid w:val="00FC693F"/>
    <w:rPr>
      <w:b/>
      <w:bCs/>
    </w:rPr>
  </w:style>
  <w:style w:type="character" w:styleId="Zdraznn">
    <w:name w:val="Emphasis"/>
    <w:basedOn w:val="Standardnpsmoodstavce"/>
    <w:uiPriority w:val="20"/>
    <w:qFormat/>
    <w:rsid w:val="00FC693F"/>
    <w:rPr>
      <w:i/>
      <w:iCs/>
    </w:rPr>
  </w:style>
  <w:style w:type="paragraph" w:styleId="Vrazncitt">
    <w:name w:val="Intense Quote"/>
    <w:basedOn w:val="Normln"/>
    <w:next w:val="Normln"/>
    <w:link w:val="VrazncittChar"/>
    <w:uiPriority w:val="30"/>
    <w:qFormat/>
    <w:rsid w:val="00FC693F"/>
    <w:pPr>
      <w:spacing w:before="200" w:after="280"/>
      <w:ind w:left="936" w:right="936"/>
    </w:pPr>
    <w:rPr>
      <w:b/>
      <w:bCs/>
      <w:i/>
      <w:iCs/>
      <w:color w:val="4F81BD" w:themeColor="accent1"/>
    </w:rPr>
  </w:style>
  <w:style w:type="character" w:customStyle="1" w:styleId="VrazncittChar">
    <w:name w:val="Výrazný citát Char"/>
    <w:basedOn w:val="Standardnpsmoodstavce"/>
    <w:link w:val="Vrazncitt"/>
    <w:uiPriority w:val="30"/>
    <w:rsid w:val="00FC693F"/>
    <w:rPr>
      <w:b/>
      <w:bCs/>
      <w:i/>
      <w:iCs/>
      <w:color w:val="4F81BD" w:themeColor="accent1"/>
    </w:rPr>
  </w:style>
  <w:style w:type="character" w:styleId="Zdraznnjemn">
    <w:name w:val="Subtle Emphasis"/>
    <w:basedOn w:val="Standardnpsmoodstavce"/>
    <w:uiPriority w:val="19"/>
    <w:qFormat/>
    <w:rsid w:val="00FC693F"/>
    <w:rPr>
      <w:i/>
      <w:iCs/>
      <w:color w:val="808080" w:themeColor="text1" w:themeTint="7F"/>
    </w:rPr>
  </w:style>
  <w:style w:type="character" w:styleId="Zdraznnintenzivn">
    <w:name w:val="Intense Emphasis"/>
    <w:basedOn w:val="Standardnpsmoodstavce"/>
    <w:uiPriority w:val="21"/>
    <w:qFormat/>
    <w:rsid w:val="00FC693F"/>
    <w:rPr>
      <w:b/>
      <w:bCs/>
      <w:i/>
      <w:iCs/>
      <w:color w:val="4F81BD" w:themeColor="accent1"/>
    </w:rPr>
  </w:style>
  <w:style w:type="character" w:styleId="Odkazjemn">
    <w:name w:val="Subtle Reference"/>
    <w:basedOn w:val="Standardnpsmoodstavce"/>
    <w:uiPriority w:val="31"/>
    <w:qFormat/>
    <w:rsid w:val="00FC693F"/>
    <w:rPr>
      <w:smallCaps/>
      <w:color w:val="C0504D" w:themeColor="accent2"/>
      <w:u w:val="single"/>
    </w:rPr>
  </w:style>
  <w:style w:type="character" w:styleId="Odkazintenzivn">
    <w:name w:val="Intense Reference"/>
    <w:basedOn w:val="Standardnpsmoodstavce"/>
    <w:uiPriority w:val="32"/>
    <w:qFormat/>
    <w:rsid w:val="00FC693F"/>
    <w:rPr>
      <w:b/>
      <w:bCs/>
      <w:smallCaps/>
      <w:color w:val="C0504D" w:themeColor="accent2"/>
      <w:spacing w:val="5"/>
      <w:u w:val="single"/>
    </w:rPr>
  </w:style>
  <w:style w:type="character" w:styleId="Nzevknihy">
    <w:name w:val="Book Title"/>
    <w:basedOn w:val="Standardnpsmoodstavce"/>
    <w:uiPriority w:val="33"/>
    <w:qFormat/>
    <w:rsid w:val="00FC693F"/>
    <w:rPr>
      <w:b/>
      <w:bCs/>
      <w:smallCaps/>
      <w:spacing w:val="5"/>
    </w:rPr>
  </w:style>
  <w:style w:type="paragraph" w:styleId="Nadpisobsahu">
    <w:name w:val="TOC Heading"/>
    <w:basedOn w:val="Nadpis1"/>
    <w:next w:val="Normln"/>
    <w:uiPriority w:val="39"/>
    <w:semiHidden/>
    <w:unhideWhenUsed/>
    <w:qFormat/>
    <w:rsid w:val="00FC693F"/>
    <w:pPr>
      <w:outlineLvl w:val="9"/>
    </w:pPr>
  </w:style>
  <w:style w:type="table" w:styleId="Mkatabulky">
    <w:name w:val="Table Grid"/>
    <w:basedOn w:val="Normlntabulka"/>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vtlstnovn">
    <w:name w:val="Light Shading"/>
    <w:basedOn w:val="Normlntabulka"/>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vtlstnovnzvraznn1">
    <w:name w:val="Light Shading Accent 1"/>
    <w:basedOn w:val="Normlntabulka"/>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vtlstnovnzvraznn2">
    <w:name w:val="Light Shading Accent 2"/>
    <w:basedOn w:val="Normlntabulka"/>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vtlstnovnzvraznn3">
    <w:name w:val="Light Shading Accent 3"/>
    <w:basedOn w:val="Normlntabulka"/>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vtlstnovnzvraznn4">
    <w:name w:val="Light Shading Accent 4"/>
    <w:basedOn w:val="Normlntabulka"/>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vtlstnovnzvraznn5">
    <w:name w:val="Light Shading Accent 5"/>
    <w:basedOn w:val="Normlntabulka"/>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vtlstnovnzvraznn6">
    <w:name w:val="Light Shading Accent 6"/>
    <w:basedOn w:val="Normlntabulka"/>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Svtlseznam">
    <w:name w:val="Light List"/>
    <w:basedOn w:val="Normlntabulka"/>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Svtlseznamzvraznn1">
    <w:name w:val="Light List Accent 1"/>
    <w:basedOn w:val="Normlntabulka"/>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Svtlseznamzvraznn2">
    <w:name w:val="Light List Accent 2"/>
    <w:basedOn w:val="Normlntabulka"/>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Svtlseznamzvraznn3">
    <w:name w:val="Light List Accent 3"/>
    <w:basedOn w:val="Normlntabulka"/>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Svtlseznamzvraznn4">
    <w:name w:val="Light List Accent 4"/>
    <w:basedOn w:val="Normlntabulka"/>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Svtlseznamzvraznn5">
    <w:name w:val="Light List Accent 5"/>
    <w:basedOn w:val="Normlntabulka"/>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Svtlseznamzvraznn6">
    <w:name w:val="Light List Accent 6"/>
    <w:basedOn w:val="Normlntabulka"/>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Svtlmka">
    <w:name w:val="Light Grid"/>
    <w:basedOn w:val="Normlntabulka"/>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Svtlmkazvraznn1">
    <w:name w:val="Light Grid Accent 1"/>
    <w:basedOn w:val="Normlntabulka"/>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Svtlmkazvraznn2">
    <w:name w:val="Light Grid Accent 2"/>
    <w:basedOn w:val="Normlntabulka"/>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Svtlmkazvraznn3">
    <w:name w:val="Light Grid Accent 3"/>
    <w:basedOn w:val="Normlntabulka"/>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Svtlmkazvraznn4">
    <w:name w:val="Light Grid Accent 4"/>
    <w:basedOn w:val="Normlntabulka"/>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Svtlmkazvraznn5">
    <w:name w:val="Light Grid Accent 5"/>
    <w:basedOn w:val="Normlntabulka"/>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Svtlmkazvraznn6">
    <w:name w:val="Light Grid Accent 6"/>
    <w:basedOn w:val="Normlntabulka"/>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Stednstnovn1">
    <w:name w:val="Medium Shading 1"/>
    <w:basedOn w:val="Normlntabulka"/>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tednstnovn1zvraznn1">
    <w:name w:val="Medium Shading 1 Accent 1"/>
    <w:basedOn w:val="Normlntabulka"/>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tednstnovn1zvraznn2">
    <w:name w:val="Medium Shading 1 Accent 2"/>
    <w:basedOn w:val="Normlntabulka"/>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Stednstnovn1zvraznn3">
    <w:name w:val="Medium Shading 1 Accent 3"/>
    <w:basedOn w:val="Normlntabulka"/>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tednstnovn1zvraznn4">
    <w:name w:val="Medium Shading 1 Accent 4"/>
    <w:basedOn w:val="Normlntabulka"/>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tednstnovn1zvraznn5">
    <w:name w:val="Medium Shading 1 Accent 5"/>
    <w:basedOn w:val="Normlntabulka"/>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Stednstnovn1zvraznn6">
    <w:name w:val="Medium Shading 1 Accent 6"/>
    <w:basedOn w:val="Normlntabulka"/>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tednstnovn2">
    <w:name w:val="Medium Shading 2"/>
    <w:basedOn w:val="Normlntabulk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tednstnovn2zvraznn1">
    <w:name w:val="Medium Shading 2 Accent 1"/>
    <w:basedOn w:val="Normlntabulk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tednstnovn2zvraznn2">
    <w:name w:val="Medium Shading 2 Accent 2"/>
    <w:basedOn w:val="Normlntabulk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tednstnovn2zvraznn3">
    <w:name w:val="Medium Shading 2 Accent 3"/>
    <w:basedOn w:val="Normlntabulk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tednstnovn2zvraznn4">
    <w:name w:val="Medium Shading 2 Accent 4"/>
    <w:basedOn w:val="Normlntabulk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tednstnovn2zvraznn5">
    <w:name w:val="Medium Shading 2 Accent 5"/>
    <w:basedOn w:val="Normlntabulk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tednstnovn2zvraznn6">
    <w:name w:val="Medium Shading 2 Accent 6"/>
    <w:basedOn w:val="Normlntabulk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tednseznam1">
    <w:name w:val="Medium List 1"/>
    <w:basedOn w:val="Normlntabulka"/>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Stednseznam1zvraznn1">
    <w:name w:val="Medium List 1 Accent 1"/>
    <w:basedOn w:val="Normlntabulka"/>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Stednseznam1zvraznn2">
    <w:name w:val="Medium List 1 Accent 2"/>
    <w:basedOn w:val="Normlntabulka"/>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Stednseznam1zvraznn3">
    <w:name w:val="Medium List 1 Accent 3"/>
    <w:basedOn w:val="Normlntabulka"/>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Stednseznam1zvraznn4">
    <w:name w:val="Medium List 1 Accent 4"/>
    <w:basedOn w:val="Normlntabulka"/>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Stednseznam1zvraznn5">
    <w:name w:val="Medium List 1 Accent 5"/>
    <w:basedOn w:val="Normlntabulka"/>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Stednseznam1zvraznn6">
    <w:name w:val="Medium List 1 Accent 6"/>
    <w:basedOn w:val="Normlntabulka"/>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Stednseznam2">
    <w:name w:val="Medium List 2"/>
    <w:basedOn w:val="Normlntabulk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Stednseznam2zvraznn1">
    <w:name w:val="Medium List 2 Accent 1"/>
    <w:basedOn w:val="Normlntabulk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Stednseznam2zvraznn2">
    <w:name w:val="Medium List 2 Accent 2"/>
    <w:basedOn w:val="Normlntabulk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Stednseznam2zvraznn3">
    <w:name w:val="Medium List 2 Accent 3"/>
    <w:basedOn w:val="Normlntabulk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Stednseznam2zvraznn4">
    <w:name w:val="Medium List 2 Accent 4"/>
    <w:basedOn w:val="Normlntabulk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Stednseznam2zvraznn5">
    <w:name w:val="Medium List 2 Accent 5"/>
    <w:basedOn w:val="Normlntabulk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Stednseznam2zvraznn6">
    <w:name w:val="Medium List 2 Accent 6"/>
    <w:basedOn w:val="Normlntabulk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Stednmka1">
    <w:name w:val="Medium Grid 1"/>
    <w:basedOn w:val="Normlntabulka"/>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Stednmka1zvraznn1">
    <w:name w:val="Medium Grid 1 Accent 1"/>
    <w:basedOn w:val="Normlntabulka"/>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Stednmka1zvraznn2">
    <w:name w:val="Medium Grid 1 Accent 2"/>
    <w:basedOn w:val="Normlntabulka"/>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Stednmka1zvraznn3">
    <w:name w:val="Medium Grid 1 Accent 3"/>
    <w:basedOn w:val="Normlntabulka"/>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Stednmka1zvraznn4">
    <w:name w:val="Medium Grid 1 Accent 4"/>
    <w:basedOn w:val="Normlntabulka"/>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Stednmka1zvraznn5">
    <w:name w:val="Medium Grid 1 Accent 5"/>
    <w:basedOn w:val="Normlntabulka"/>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Stednmka1zvraznn6">
    <w:name w:val="Medium Grid 1 Accent 6"/>
    <w:basedOn w:val="Normlntabulka"/>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Stednmka2">
    <w:name w:val="Medium Grid 2"/>
    <w:basedOn w:val="Normlntabulk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Stednmka2zvraznn1">
    <w:name w:val="Medium Grid 2 Accent 1"/>
    <w:basedOn w:val="Normlntabulk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Stednmka2zvraznn2">
    <w:name w:val="Medium Grid 2 Accent 2"/>
    <w:basedOn w:val="Normlntabulk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Stednmka2zvraznn3">
    <w:name w:val="Medium Grid 2 Accent 3"/>
    <w:basedOn w:val="Normlntabulk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Stednmka2zvraznn4">
    <w:name w:val="Medium Grid 2 Accent 4"/>
    <w:basedOn w:val="Normlntabulk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Stednmka2zvraznn5">
    <w:name w:val="Medium Grid 2 Accent 5"/>
    <w:basedOn w:val="Normlntabulk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Stednmka2zvraznn6">
    <w:name w:val="Medium Grid 2 Accent 6"/>
    <w:basedOn w:val="Normlntabulk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Stednmka3">
    <w:name w:val="Medium Grid 3"/>
    <w:basedOn w:val="Normlntabulk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Stednmka3zvraznn1">
    <w:name w:val="Medium Grid 3 Accent 1"/>
    <w:basedOn w:val="Normlntabulk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Stednmka3zvraznn2">
    <w:name w:val="Medium Grid 3 Accent 2"/>
    <w:basedOn w:val="Normlntabulk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Stednmka3zvraznn3">
    <w:name w:val="Medium Grid 3 Accent 3"/>
    <w:basedOn w:val="Normlntabulk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Stednmka3zvraznn4">
    <w:name w:val="Medium Grid 3 Accent 4"/>
    <w:basedOn w:val="Normlntabulk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Stednmka3zvraznn5">
    <w:name w:val="Medium Grid 3 Accent 5"/>
    <w:basedOn w:val="Normlntabulk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Stednmka3zvraznn6">
    <w:name w:val="Medium Grid 3 Accent 6"/>
    <w:basedOn w:val="Normlntabulk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Tmavseznam">
    <w:name w:val="Dark List"/>
    <w:basedOn w:val="Normlntabulka"/>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Tmavseznamzvraznn1">
    <w:name w:val="Dark List Accent 1"/>
    <w:basedOn w:val="Normlntabulka"/>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Tmavseznamzvraznn2">
    <w:name w:val="Dark List Accent 2"/>
    <w:basedOn w:val="Normlntabulka"/>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Tmavseznamzvraznn3">
    <w:name w:val="Dark List Accent 3"/>
    <w:basedOn w:val="Normlntabulka"/>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Tmavseznamzvraznn4">
    <w:name w:val="Dark List Accent 4"/>
    <w:basedOn w:val="Normlntabulka"/>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Tmavseznamzvraznn5">
    <w:name w:val="Dark List Accent 5"/>
    <w:basedOn w:val="Normlntabulka"/>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Tmavseznamzvraznn6">
    <w:name w:val="Dark List Accent 6"/>
    <w:basedOn w:val="Normlntabulka"/>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Barevnstnovn">
    <w:name w:val="Colorful Shading"/>
    <w:basedOn w:val="Normlntabulka"/>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Barevnstnovnzvraznn1">
    <w:name w:val="Colorful Shading Accent 1"/>
    <w:basedOn w:val="Normlntabulka"/>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Barevnstnovnzvraznn2">
    <w:name w:val="Colorful Shading Accent 2"/>
    <w:basedOn w:val="Normlntabulka"/>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Barevnstnovnzvraznn3">
    <w:name w:val="Colorful Shading Accent 3"/>
    <w:basedOn w:val="Normlntabulka"/>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Barevnstnovnzvraznn4">
    <w:name w:val="Colorful Shading Accent 4"/>
    <w:basedOn w:val="Normlntabulka"/>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Barevnstnovnzvraznn5">
    <w:name w:val="Colorful Shading Accent 5"/>
    <w:basedOn w:val="Normlntabulka"/>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Barevnstnovnzvraznn6">
    <w:name w:val="Colorful Shading Accent 6"/>
    <w:basedOn w:val="Normlntabulka"/>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Barevnseznam">
    <w:name w:val="Colorful List"/>
    <w:basedOn w:val="Normlntabulka"/>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Barevnseznamzvraznn1">
    <w:name w:val="Colorful List Accent 1"/>
    <w:basedOn w:val="Normlntabulka"/>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Barevnseznamzvraznn2">
    <w:name w:val="Colorful List Accent 2"/>
    <w:basedOn w:val="Normlntabulka"/>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Barevnseznamzvraznn3">
    <w:name w:val="Colorful List Accent 3"/>
    <w:basedOn w:val="Normlntabulka"/>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Barevnseznamzvraznn4">
    <w:name w:val="Colorful List Accent 4"/>
    <w:basedOn w:val="Normlntabulka"/>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Barevnseznamzvraznn5">
    <w:name w:val="Colorful List Accent 5"/>
    <w:basedOn w:val="Normlntabulka"/>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Barevnseznamzvraznn6">
    <w:name w:val="Colorful List Accent 6"/>
    <w:basedOn w:val="Normlntabulka"/>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Barevnmka">
    <w:name w:val="Colorful Grid"/>
    <w:basedOn w:val="Normlntabulk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Barevnmkazvraznn1">
    <w:name w:val="Colorful Grid Accent 1"/>
    <w:basedOn w:val="Normlntabulk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Barevnmkazvraznn2">
    <w:name w:val="Colorful Grid Accent 2"/>
    <w:basedOn w:val="Normlntabulk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Barevnmkazvraznn3">
    <w:name w:val="Colorful Grid Accent 3"/>
    <w:basedOn w:val="Normlntabulk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Barevnmkazvraznn4">
    <w:name w:val="Colorful Grid Accent 4"/>
    <w:basedOn w:val="Normlntabulk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Barevnmkazvraznn5">
    <w:name w:val="Colorful Grid Accent 5"/>
    <w:basedOn w:val="Normlntabulk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Barevnmkazvraznn6">
    <w:name w:val="Colorful Grid Accent 6"/>
    <w:basedOn w:val="Normlntabulk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Obsah1">
    <w:name w:val="toc 1"/>
    <w:basedOn w:val="Normln"/>
    <w:next w:val="Normln"/>
    <w:autoRedefine/>
    <w:uiPriority w:val="39"/>
    <w:unhideWhenUsed/>
    <w:rsid w:val="00B33274"/>
    <w:pPr>
      <w:spacing w:after="100"/>
    </w:pPr>
  </w:style>
  <w:style w:type="character" w:styleId="Hypertextovodkaz">
    <w:name w:val="Hyperlink"/>
    <w:basedOn w:val="Standardnpsmoodstavce"/>
    <w:uiPriority w:val="99"/>
    <w:unhideWhenUsed/>
    <w:rsid w:val="00B33274"/>
    <w:rPr>
      <w:color w:val="0000FF" w:themeColor="hyperlink"/>
      <w:u w:val="single"/>
    </w:rPr>
  </w:style>
  <w:style w:type="paragraph" w:styleId="Obsah2">
    <w:name w:val="toc 2"/>
    <w:basedOn w:val="Normln"/>
    <w:next w:val="Normln"/>
    <w:autoRedefine/>
    <w:uiPriority w:val="39"/>
    <w:unhideWhenUsed/>
    <w:rsid w:val="00B33274"/>
    <w:pPr>
      <w:spacing w:after="100"/>
      <w:ind w:left="220"/>
    </w:pPr>
  </w:style>
  <w:style w:type="paragraph" w:styleId="Obsah3">
    <w:name w:val="toc 3"/>
    <w:basedOn w:val="Normln"/>
    <w:next w:val="Normln"/>
    <w:autoRedefine/>
    <w:uiPriority w:val="39"/>
    <w:unhideWhenUsed/>
    <w:rsid w:val="00B33274"/>
    <w:pPr>
      <w:spacing w:after="100" w:line="278" w:lineRule="auto"/>
      <w:ind w:left="480"/>
    </w:pPr>
    <w:rPr>
      <w:rFonts w:asciiTheme="minorHAnsi" w:hAnsiTheme="minorHAnsi"/>
      <w:color w:val="auto"/>
      <w:kern w:val="2"/>
      <w:sz w:val="24"/>
      <w:szCs w:val="24"/>
      <w:lang w:eastAsia="cs-CZ"/>
      <w14:ligatures w14:val="standardContextual"/>
    </w:rPr>
  </w:style>
  <w:style w:type="paragraph" w:styleId="Obsah4">
    <w:name w:val="toc 4"/>
    <w:basedOn w:val="Normln"/>
    <w:next w:val="Normln"/>
    <w:autoRedefine/>
    <w:uiPriority w:val="39"/>
    <w:unhideWhenUsed/>
    <w:rsid w:val="00B33274"/>
    <w:pPr>
      <w:spacing w:after="100" w:line="278" w:lineRule="auto"/>
      <w:ind w:left="720"/>
    </w:pPr>
    <w:rPr>
      <w:rFonts w:asciiTheme="minorHAnsi" w:hAnsiTheme="minorHAnsi"/>
      <w:color w:val="auto"/>
      <w:kern w:val="2"/>
      <w:sz w:val="24"/>
      <w:szCs w:val="24"/>
      <w:lang w:eastAsia="cs-CZ"/>
      <w14:ligatures w14:val="standardContextual"/>
    </w:rPr>
  </w:style>
  <w:style w:type="paragraph" w:styleId="Obsah5">
    <w:name w:val="toc 5"/>
    <w:basedOn w:val="Normln"/>
    <w:next w:val="Normln"/>
    <w:autoRedefine/>
    <w:uiPriority w:val="39"/>
    <w:unhideWhenUsed/>
    <w:rsid w:val="00B33274"/>
    <w:pPr>
      <w:spacing w:after="100" w:line="278" w:lineRule="auto"/>
      <w:ind w:left="960"/>
    </w:pPr>
    <w:rPr>
      <w:rFonts w:asciiTheme="minorHAnsi" w:hAnsiTheme="minorHAnsi"/>
      <w:color w:val="auto"/>
      <w:kern w:val="2"/>
      <w:sz w:val="24"/>
      <w:szCs w:val="24"/>
      <w:lang w:eastAsia="cs-CZ"/>
      <w14:ligatures w14:val="standardContextual"/>
    </w:rPr>
  </w:style>
  <w:style w:type="paragraph" w:styleId="Obsah6">
    <w:name w:val="toc 6"/>
    <w:basedOn w:val="Normln"/>
    <w:next w:val="Normln"/>
    <w:autoRedefine/>
    <w:uiPriority w:val="39"/>
    <w:unhideWhenUsed/>
    <w:rsid w:val="00B33274"/>
    <w:pPr>
      <w:spacing w:after="100" w:line="278" w:lineRule="auto"/>
      <w:ind w:left="1200"/>
    </w:pPr>
    <w:rPr>
      <w:rFonts w:asciiTheme="minorHAnsi" w:hAnsiTheme="minorHAnsi"/>
      <w:color w:val="auto"/>
      <w:kern w:val="2"/>
      <w:sz w:val="24"/>
      <w:szCs w:val="24"/>
      <w:lang w:eastAsia="cs-CZ"/>
      <w14:ligatures w14:val="standardContextual"/>
    </w:rPr>
  </w:style>
  <w:style w:type="paragraph" w:styleId="Obsah7">
    <w:name w:val="toc 7"/>
    <w:basedOn w:val="Normln"/>
    <w:next w:val="Normln"/>
    <w:autoRedefine/>
    <w:uiPriority w:val="39"/>
    <w:unhideWhenUsed/>
    <w:rsid w:val="00B33274"/>
    <w:pPr>
      <w:spacing w:after="100" w:line="278" w:lineRule="auto"/>
      <w:ind w:left="1440"/>
    </w:pPr>
    <w:rPr>
      <w:rFonts w:asciiTheme="minorHAnsi" w:hAnsiTheme="minorHAnsi"/>
      <w:color w:val="auto"/>
      <w:kern w:val="2"/>
      <w:sz w:val="24"/>
      <w:szCs w:val="24"/>
      <w:lang w:eastAsia="cs-CZ"/>
      <w14:ligatures w14:val="standardContextual"/>
    </w:rPr>
  </w:style>
  <w:style w:type="paragraph" w:styleId="Obsah8">
    <w:name w:val="toc 8"/>
    <w:basedOn w:val="Normln"/>
    <w:next w:val="Normln"/>
    <w:autoRedefine/>
    <w:uiPriority w:val="39"/>
    <w:unhideWhenUsed/>
    <w:rsid w:val="00B33274"/>
    <w:pPr>
      <w:spacing w:after="100" w:line="278" w:lineRule="auto"/>
      <w:ind w:left="1680"/>
    </w:pPr>
    <w:rPr>
      <w:rFonts w:asciiTheme="minorHAnsi" w:hAnsiTheme="minorHAnsi"/>
      <w:color w:val="auto"/>
      <w:kern w:val="2"/>
      <w:sz w:val="24"/>
      <w:szCs w:val="24"/>
      <w:lang w:eastAsia="cs-CZ"/>
      <w14:ligatures w14:val="standardContextual"/>
    </w:rPr>
  </w:style>
  <w:style w:type="paragraph" w:styleId="Obsah9">
    <w:name w:val="toc 9"/>
    <w:basedOn w:val="Normln"/>
    <w:next w:val="Normln"/>
    <w:autoRedefine/>
    <w:uiPriority w:val="39"/>
    <w:unhideWhenUsed/>
    <w:rsid w:val="00B33274"/>
    <w:pPr>
      <w:spacing w:after="100" w:line="278" w:lineRule="auto"/>
      <w:ind w:left="1920"/>
    </w:pPr>
    <w:rPr>
      <w:rFonts w:asciiTheme="minorHAnsi" w:hAnsiTheme="minorHAnsi"/>
      <w:color w:val="auto"/>
      <w:kern w:val="2"/>
      <w:sz w:val="24"/>
      <w:szCs w:val="24"/>
      <w:lang w:eastAsia="cs-CZ"/>
      <w14:ligatures w14:val="standardContextual"/>
    </w:rPr>
  </w:style>
  <w:style w:type="character" w:styleId="Nevyeenzmnka">
    <w:name w:val="Unresolved Mention"/>
    <w:basedOn w:val="Standardnpsmoodstavce"/>
    <w:uiPriority w:val="99"/>
    <w:semiHidden/>
    <w:unhideWhenUsed/>
    <w:rsid w:val="00B3327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TotalTime>
  <Pages>28</Pages>
  <Words>14475</Words>
  <Characters>85407</Characters>
  <Application>Microsoft Office Word</Application>
  <DocSecurity>0</DocSecurity>
  <Lines>711</Lines>
  <Paragraphs>199</Paragraphs>
  <ScaleCrop>false</ScaleCrop>
  <HeadingPairs>
    <vt:vector size="4" baseType="variant">
      <vt:variant>
        <vt:lpstr>Název</vt:lpstr>
      </vt:variant>
      <vt:variant>
        <vt:i4>1</vt:i4>
      </vt:variant>
      <vt:variant>
        <vt:lpstr>Title</vt:lpstr>
      </vt:variant>
      <vt:variant>
        <vt:i4>1</vt:i4>
      </vt:variant>
    </vt:vector>
  </HeadingPairs>
  <TitlesOfParts>
    <vt:vector size="2" baseType="lpstr">
      <vt:lpstr>Technická normalizace a zkušebnictví — Příručka pro techniky</vt:lpstr>
      <vt:lpstr/>
    </vt:vector>
  </TitlesOfParts>
  <Manager/>
  <Company/>
  <LinksUpToDate>false</LinksUpToDate>
  <CharactersWithSpaces>99683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Technická normalizace a zkušebnictví — Příručka pro techniky</dc:title>
  <dc:subject>Praktická příručka podle podkladů Miroslava Krejči</dc:subject>
  <dc:creator>Miloslav Šír</dc:creator>
  <cp:keywords/>
  <dc:description>generated by python-docx</dc:description>
  <cp:lastModifiedBy>Miloslav Šír</cp:lastModifiedBy>
  <cp:revision>9</cp:revision>
  <dcterms:created xsi:type="dcterms:W3CDTF">2026-10-16T16:30:00Z</dcterms:created>
  <dcterms:modified xsi:type="dcterms:W3CDTF">2026-10-16T17:24:00Z</dcterms:modified>
  <cp:category/>
</cp:coreProperties>
</file>